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0001288952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283"/>
              <w:jc w:val="left"/>
              <w:rPr/>
            </w:pPr>
            <w:r>
              <w:rPr/>
              <w:t>Name of Issuer</w:t>
            </w:r>
          </w:p>
        </w:tc>
        <w:tc>
          <w:tcPr>
            <w:tcW w:w="4329" w:type="dxa"/>
            <w:tcBorders/>
            <w:vAlign w:val="center"/>
          </w:tcPr>
          <w:p>
            <w:pPr>
              <w:pStyle w:val="TableContents"/>
              <w:bidi w:val="0"/>
              <w:spacing w:before="0" w:after="0"/>
              <w:jc w:val="left"/>
              <w:rPr/>
            </w:pPr>
            <w:r>
              <w:rPr/>
              <w:t>PTC THERAPEUTICS, INC.</w:t>
            </w:r>
          </w:p>
        </w:tc>
      </w:tr>
      <w:tr>
        <w:trPr/>
        <w:tc>
          <w:tcPr>
            <w:tcW w:w="5876" w:type="dxa"/>
            <w:tcBorders/>
            <w:vAlign w:val="center"/>
          </w:tcPr>
          <w:p>
            <w:pPr>
              <w:pStyle w:val="TableContents"/>
              <w:bidi w:val="0"/>
              <w:spacing w:before="0" w:after="283"/>
              <w:jc w:val="left"/>
              <w:rPr/>
            </w:pPr>
            <w:r>
              <w:rPr/>
              <w:t>SEC File Number</w:t>
            </w:r>
          </w:p>
        </w:tc>
        <w:tc>
          <w:tcPr>
            <w:tcW w:w="4329" w:type="dxa"/>
            <w:tcBorders/>
            <w:vAlign w:val="center"/>
          </w:tcPr>
          <w:p>
            <w:pPr>
              <w:pStyle w:val="TableContents"/>
              <w:bidi w:val="0"/>
              <w:spacing w:before="0" w:after="283"/>
              <w:jc w:val="left"/>
              <w:rPr>
                <w:sz w:val="4"/>
                <w:szCs w:val="4"/>
              </w:rPr>
            </w:pPr>
            <w:r>
              <w:rPr>
                <w:sz w:val="4"/>
                <w:szCs w:val="4"/>
              </w:rPr>
            </w:r>
          </w:p>
        </w:tc>
      </w:tr>
      <w:tr>
        <w:trPr/>
        <w:tc>
          <w:tcPr>
            <w:tcW w:w="5876" w:type="dxa"/>
            <w:tcBorders/>
            <w:vAlign w:val="center"/>
          </w:tcPr>
          <w:p>
            <w:pPr>
              <w:pStyle w:val="TableContents"/>
              <w:bidi w:val="0"/>
              <w:spacing w:before="0" w:after="283"/>
              <w:jc w:val="left"/>
              <w:rPr/>
            </w:pPr>
            <w:r>
              <w:rPr/>
              <w:t>Address of Issuer</w:t>
            </w:r>
          </w:p>
        </w:tc>
        <w:tc>
          <w:tcPr>
            <w:tcW w:w="4329"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876" w:type="dxa"/>
            <w:tcBorders/>
            <w:vAlign w:val="center"/>
          </w:tcPr>
          <w:p>
            <w:pPr>
              <w:pStyle w:val="TableContents"/>
              <w:bidi w:val="0"/>
              <w:spacing w:before="0" w:after="283"/>
              <w:jc w:val="left"/>
              <w:rPr/>
            </w:pPr>
            <w:r>
              <w:rPr/>
              <w:t>Phone</w:t>
            </w:r>
          </w:p>
        </w:tc>
        <w:tc>
          <w:tcPr>
            <w:tcW w:w="4329" w:type="dxa"/>
            <w:tcBorders/>
            <w:vAlign w:val="center"/>
          </w:tcPr>
          <w:p>
            <w:pPr>
              <w:pStyle w:val="TableContents"/>
              <w:bidi w:val="0"/>
              <w:spacing w:before="0" w:after="0"/>
              <w:jc w:val="left"/>
              <w:rPr/>
            </w:pPr>
            <w:r>
              <w:rPr/>
              <w:t>9082227000</w:t>
            </w:r>
          </w:p>
        </w:tc>
      </w:tr>
      <w:tr>
        <w:trPr/>
        <w:tc>
          <w:tcPr>
            <w:tcW w:w="5876" w:type="dxa"/>
            <w:tcBorders/>
            <w:vAlign w:val="center"/>
          </w:tcPr>
          <w:p>
            <w:pPr>
              <w:pStyle w:val="TableContents"/>
              <w:bidi w:val="0"/>
              <w:spacing w:before="0" w:after="283"/>
              <w:jc w:val="left"/>
              <w:rPr/>
            </w:pPr>
            <w:r>
              <w:rPr/>
              <w:t>Name of Person for Whose Account the Securities are To Be Sold</w:t>
            </w:r>
          </w:p>
        </w:tc>
        <w:tc>
          <w:tcPr>
            <w:tcW w:w="4329" w:type="dxa"/>
            <w:tcBorders/>
            <w:vAlign w:val="center"/>
          </w:tcPr>
          <w:p>
            <w:pPr>
              <w:pStyle w:val="TableContents"/>
              <w:bidi w:val="0"/>
              <w:spacing w:before="0" w:after="0"/>
              <w:jc w:val="left"/>
              <w:rPr/>
            </w:pPr>
            <w:r>
              <w:rPr/>
              <w:t>Section Six Partners,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6" w:type="dxa"/>
            <w:tcBorders/>
            <w:vAlign w:val="center"/>
          </w:tcPr>
          <w:p>
            <w:pPr>
              <w:pStyle w:val="TableContents"/>
              <w:bidi w:val="0"/>
              <w:spacing w:before="0" w:after="283"/>
              <w:jc w:val="left"/>
              <w:rPr/>
            </w:pPr>
            <w:r>
              <w:rPr/>
              <w:t>Relationship to Issuer</w:t>
            </w:r>
          </w:p>
        </w:tc>
        <w:tc>
          <w:tcPr>
            <w:tcW w:w="4329" w:type="dxa"/>
            <w:tcBorders/>
            <w:vAlign w:val="center"/>
          </w:tcPr>
          <w:p>
            <w:pPr>
              <w:pStyle w:val="TableContents"/>
              <w:bidi w:val="0"/>
              <w:spacing w:before="0" w:after="0"/>
              <w:jc w:val="left"/>
              <w:rPr/>
            </w:pPr>
            <w:r>
              <w:rPr/>
              <w:t>Affiliate of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One Bryant Park</w:t>
              <w:br/>
              <w:t>Fl 47</w:t>
              <w:br/>
              <w:t>New York   NY   10036</w:t>
            </w:r>
          </w:p>
        </w:tc>
        <w:tc>
          <w:tcPr>
            <w:tcW w:w="1184" w:type="dxa"/>
            <w:tcBorders/>
            <w:vAlign w:val="center"/>
          </w:tcPr>
          <w:p>
            <w:pPr>
              <w:pStyle w:val="TableContents"/>
              <w:bidi w:val="0"/>
              <w:spacing w:before="0" w:after="283"/>
              <w:jc w:val="left"/>
              <w:rPr/>
            </w:pPr>
            <w:r>
              <w:rPr/>
              <w:t>10000</w:t>
            </w:r>
          </w:p>
        </w:tc>
        <w:tc>
          <w:tcPr>
            <w:tcW w:w="1393" w:type="dxa"/>
            <w:tcBorders/>
            <w:vAlign w:val="center"/>
          </w:tcPr>
          <w:p>
            <w:pPr>
              <w:pStyle w:val="TableContents"/>
              <w:bidi w:val="0"/>
              <w:spacing w:before="0" w:after="283"/>
              <w:jc w:val="left"/>
              <w:rPr/>
            </w:pPr>
            <w:r>
              <w:rPr/>
              <w:t>643500</w:t>
            </w:r>
          </w:p>
        </w:tc>
        <w:tc>
          <w:tcPr>
            <w:tcW w:w="1566" w:type="dxa"/>
            <w:tcBorders/>
            <w:vAlign w:val="center"/>
          </w:tcPr>
          <w:p>
            <w:pPr>
              <w:pStyle w:val="TableContents"/>
              <w:bidi w:val="0"/>
              <w:spacing w:before="0" w:after="283"/>
              <w:jc w:val="left"/>
              <w:rPr/>
            </w:pPr>
            <w:r>
              <w:rPr/>
              <w:t>83460802</w:t>
            </w:r>
          </w:p>
        </w:tc>
        <w:tc>
          <w:tcPr>
            <w:tcW w:w="1575" w:type="dxa"/>
            <w:tcBorders/>
            <w:vAlign w:val="center"/>
          </w:tcPr>
          <w:p>
            <w:pPr>
              <w:pStyle w:val="TableContents"/>
              <w:bidi w:val="0"/>
              <w:spacing w:before="0" w:after="283"/>
              <w:jc w:val="left"/>
              <w:rPr/>
            </w:pPr>
            <w:r>
              <w:rPr/>
              <w:t>10/07/2026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8"/>
        <w:gridCol w:w="1471"/>
        <w:gridCol w:w="1186"/>
        <w:gridCol w:w="527"/>
        <w:gridCol w:w="1128"/>
        <w:gridCol w:w="1181"/>
        <w:gridCol w:w="1069"/>
        <w:gridCol w:w="1388"/>
      </w:tblGrid>
      <w:tr>
        <w:trPr/>
        <w:tc>
          <w:tcPr>
            <w:tcW w:w="1127"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Common</w:t>
            </w:r>
          </w:p>
        </w:tc>
        <w:tc>
          <w:tcPr>
            <w:tcW w:w="1128" w:type="dxa"/>
            <w:tcBorders/>
            <w:vAlign w:val="center"/>
          </w:tcPr>
          <w:p>
            <w:pPr>
              <w:pStyle w:val="TableContents"/>
              <w:bidi w:val="0"/>
              <w:spacing w:before="0" w:after="283"/>
              <w:jc w:val="left"/>
              <w:rPr/>
            </w:pPr>
            <w:r>
              <w:rPr/>
              <w:t>06/25/2013</w:t>
            </w:r>
          </w:p>
        </w:tc>
        <w:tc>
          <w:tcPr>
            <w:tcW w:w="1471" w:type="dxa"/>
            <w:tcBorders/>
            <w:vAlign w:val="center"/>
          </w:tcPr>
          <w:p>
            <w:pPr>
              <w:pStyle w:val="TableContents"/>
              <w:bidi w:val="0"/>
              <w:spacing w:before="0" w:after="283"/>
              <w:jc w:val="left"/>
              <w:rPr/>
            </w:pPr>
            <w:r>
              <w:rPr/>
              <w:t>Automatic Conversion of Preferred Stock into Common Stock Upon IPO</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10000</w:t>
            </w:r>
          </w:p>
        </w:tc>
        <w:tc>
          <w:tcPr>
            <w:tcW w:w="1069" w:type="dxa"/>
            <w:tcBorders/>
            <w:vAlign w:val="center"/>
          </w:tcPr>
          <w:p>
            <w:pPr>
              <w:pStyle w:val="TableContents"/>
              <w:bidi w:val="0"/>
              <w:spacing w:before="0" w:after="283"/>
              <w:jc w:val="left"/>
              <w:rPr/>
            </w:pPr>
            <w:r>
              <w:rPr/>
              <w:t>06/25/2013</w:t>
            </w:r>
          </w:p>
        </w:tc>
        <w:tc>
          <w:tcPr>
            <w:tcW w:w="1388" w:type="dxa"/>
            <w:tcBorders/>
            <w:vAlign w:val="center"/>
          </w:tcPr>
          <w:p>
            <w:pPr>
              <w:pStyle w:val="TableContents"/>
              <w:bidi w:val="0"/>
              <w:spacing w:before="0" w:after="283"/>
              <w:jc w:val="left"/>
              <w:rPr/>
            </w:pPr>
            <w:r>
              <w:rPr/>
              <w:t>Automatic Conversion of Preferred Stock into Common Stock upon IPO (Preferred Stock acquired from Issuer for 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9"/>
        <w:gridCol w:w="2881"/>
        <w:gridCol w:w="932"/>
        <w:gridCol w:w="1544"/>
        <w:gridCol w:w="1739"/>
      </w:tblGrid>
      <w:tr>
        <w:trPr/>
        <w:tc>
          <w:tcPr>
            <w:tcW w:w="3109"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739" w:type="dxa"/>
            <w:tcBorders/>
            <w:vAlign w:val="center"/>
          </w:tcPr>
          <w:p>
            <w:pPr>
              <w:pStyle w:val="TableHeading"/>
              <w:suppressLineNumbers/>
              <w:bidi w:val="0"/>
              <w:spacing w:before="0" w:after="283"/>
              <w:jc w:val="center"/>
              <w:rPr/>
            </w:pPr>
            <w:r>
              <w:rPr/>
              <w:t>Gross Proceeds</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08/19/2026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916553.65</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08/20/2026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888857.74</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08/26/2026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911725.45</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08/27/2026</w:t>
            </w:r>
          </w:p>
        </w:tc>
        <w:tc>
          <w:tcPr>
            <w:tcW w:w="1544" w:type="dxa"/>
            <w:tcBorders/>
            <w:vAlign w:val="center"/>
          </w:tcPr>
          <w:p>
            <w:pPr>
              <w:pStyle w:val="TableContents"/>
              <w:bidi w:val="0"/>
              <w:spacing w:before="0" w:after="283"/>
              <w:jc w:val="left"/>
              <w:rPr/>
            </w:pPr>
            <w:r>
              <w:rPr/>
              <w:t>12500</w:t>
            </w:r>
          </w:p>
        </w:tc>
        <w:tc>
          <w:tcPr>
            <w:tcW w:w="1739" w:type="dxa"/>
            <w:tcBorders/>
            <w:vAlign w:val="center"/>
          </w:tcPr>
          <w:p>
            <w:pPr>
              <w:pStyle w:val="TableContents"/>
              <w:bidi w:val="0"/>
              <w:spacing w:before="0" w:after="283"/>
              <w:jc w:val="left"/>
              <w:rPr/>
            </w:pPr>
            <w:r>
              <w:rPr/>
              <w:t>894783.7</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09/09/2026</w:t>
            </w:r>
          </w:p>
        </w:tc>
        <w:tc>
          <w:tcPr>
            <w:tcW w:w="1544" w:type="dxa"/>
            <w:tcBorders/>
            <w:vAlign w:val="center"/>
          </w:tcPr>
          <w:p>
            <w:pPr>
              <w:pStyle w:val="TableContents"/>
              <w:bidi w:val="0"/>
              <w:spacing w:before="0" w:after="283"/>
              <w:jc w:val="left"/>
              <w:rPr/>
            </w:pPr>
            <w:r>
              <w:rPr/>
              <w:t>10000</w:t>
            </w:r>
          </w:p>
        </w:tc>
        <w:tc>
          <w:tcPr>
            <w:tcW w:w="1739" w:type="dxa"/>
            <w:tcBorders/>
            <w:vAlign w:val="center"/>
          </w:tcPr>
          <w:p>
            <w:pPr>
              <w:pStyle w:val="TableContents"/>
              <w:bidi w:val="0"/>
              <w:spacing w:before="0" w:after="283"/>
              <w:jc w:val="left"/>
              <w:rPr/>
            </w:pPr>
            <w:r>
              <w:rPr/>
              <w:t>678403.36</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09/10/2026</w:t>
            </w:r>
          </w:p>
        </w:tc>
        <w:tc>
          <w:tcPr>
            <w:tcW w:w="1544" w:type="dxa"/>
            <w:tcBorders/>
            <w:vAlign w:val="center"/>
          </w:tcPr>
          <w:p>
            <w:pPr>
              <w:pStyle w:val="TableContents"/>
              <w:bidi w:val="0"/>
              <w:spacing w:before="0" w:after="283"/>
              <w:jc w:val="left"/>
              <w:rPr/>
            </w:pPr>
            <w:r>
              <w:rPr/>
              <w:t>10000</w:t>
            </w:r>
          </w:p>
        </w:tc>
        <w:tc>
          <w:tcPr>
            <w:tcW w:w="1739" w:type="dxa"/>
            <w:tcBorders/>
            <w:vAlign w:val="center"/>
          </w:tcPr>
          <w:p>
            <w:pPr>
              <w:pStyle w:val="TableContents"/>
              <w:bidi w:val="0"/>
              <w:spacing w:before="0" w:after="283"/>
              <w:jc w:val="left"/>
              <w:rPr/>
            </w:pPr>
            <w:r>
              <w:rPr/>
              <w:t>673400</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09/16/2026</w:t>
            </w:r>
          </w:p>
        </w:tc>
        <w:tc>
          <w:tcPr>
            <w:tcW w:w="1544" w:type="dxa"/>
            <w:tcBorders/>
            <w:vAlign w:val="center"/>
          </w:tcPr>
          <w:p>
            <w:pPr>
              <w:pStyle w:val="TableContents"/>
              <w:bidi w:val="0"/>
              <w:spacing w:before="0" w:after="283"/>
              <w:jc w:val="left"/>
              <w:rPr/>
            </w:pPr>
            <w:r>
              <w:rPr/>
              <w:t>10000</w:t>
            </w:r>
          </w:p>
        </w:tc>
        <w:tc>
          <w:tcPr>
            <w:tcW w:w="1739" w:type="dxa"/>
            <w:tcBorders/>
            <w:vAlign w:val="center"/>
          </w:tcPr>
          <w:p>
            <w:pPr>
              <w:pStyle w:val="TableContents"/>
              <w:bidi w:val="0"/>
              <w:spacing w:before="0" w:after="283"/>
              <w:jc w:val="left"/>
              <w:rPr/>
            </w:pPr>
            <w:r>
              <w:rPr/>
              <w:t>671194.64</w:t>
            </w:r>
          </w:p>
        </w:tc>
      </w:tr>
      <w:tr>
        <w:trPr/>
        <w:tc>
          <w:tcPr>
            <w:tcW w:w="3109" w:type="dxa"/>
            <w:tcBorders/>
            <w:vAlign w:val="center"/>
          </w:tcPr>
          <w:p>
            <w:pPr>
              <w:pStyle w:val="TableContents"/>
              <w:bidi w:val="0"/>
              <w:spacing w:before="0" w:after="283"/>
              <w:jc w:val="left"/>
              <w:rPr/>
            </w:pPr>
            <w:r>
              <w:rPr/>
              <w:t>Section Six Partners, LP</w:t>
              <w:br/>
              <w:t>c/o PTC Therapeutics, Inc</w:t>
              <w:br/>
              <w:t>500 Warren Corporate Center Drive</w:t>
              <w:br/>
              <w:t>Warren   NJ   07059</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09/17/2026</w:t>
            </w:r>
          </w:p>
        </w:tc>
        <w:tc>
          <w:tcPr>
            <w:tcW w:w="1544" w:type="dxa"/>
            <w:tcBorders/>
            <w:vAlign w:val="center"/>
          </w:tcPr>
          <w:p>
            <w:pPr>
              <w:pStyle w:val="TableContents"/>
              <w:bidi w:val="0"/>
              <w:spacing w:before="0" w:after="283"/>
              <w:jc w:val="left"/>
              <w:rPr/>
            </w:pPr>
            <w:r>
              <w:rPr/>
              <w:t>10000</w:t>
            </w:r>
          </w:p>
        </w:tc>
        <w:tc>
          <w:tcPr>
            <w:tcW w:w="1739" w:type="dxa"/>
            <w:tcBorders/>
            <w:vAlign w:val="center"/>
          </w:tcPr>
          <w:p>
            <w:pPr>
              <w:pStyle w:val="TableContents"/>
              <w:bidi w:val="0"/>
              <w:spacing w:before="0" w:after="283"/>
              <w:jc w:val="left"/>
              <w:rPr/>
            </w:pPr>
            <w:r>
              <w:rPr/>
              <w:t>678533.12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49"/>
        <w:gridCol w:w="7556"/>
      </w:tblGrid>
      <w:tr>
        <w:trPr/>
        <w:tc>
          <w:tcPr>
            <w:tcW w:w="2649" w:type="dxa"/>
            <w:tcBorders/>
            <w:vAlign w:val="center"/>
          </w:tcPr>
          <w:p>
            <w:pPr>
              <w:pStyle w:val="TableContents"/>
              <w:bidi w:val="0"/>
              <w:spacing w:before="0" w:after="283"/>
              <w:jc w:val="left"/>
              <w:rPr/>
            </w:pPr>
            <w:r>
              <w:rPr/>
              <w:t>Remarks</w:t>
            </w:r>
          </w:p>
        </w:tc>
        <w:tc>
          <w:tcPr>
            <w:tcW w:w="7556" w:type="dxa"/>
            <w:tcBorders/>
            <w:vAlign w:val="center"/>
          </w:tcPr>
          <w:p>
            <w:pPr>
              <w:pStyle w:val="TableContents"/>
              <w:bidi w:val="0"/>
              <w:spacing w:before="0" w:after="0"/>
              <w:jc w:val="left"/>
              <w:rPr/>
            </w:pPr>
            <w:r>
              <w:rPr/>
              <w:t>Michael Schmertzler is a member of the Board of Directors of the Issuer. He is also a general partner and limited partner of Section Six Partners, L.P. Mr. Schmertzler disclaims beneficial ownership of the shares held by Section Six Partners, L.P., except to the extent of his pecuniary interest therein.</w:t>
            </w:r>
          </w:p>
        </w:tc>
      </w:tr>
      <w:tr>
        <w:trPr/>
        <w:tc>
          <w:tcPr>
            <w:tcW w:w="2649" w:type="dxa"/>
            <w:tcBorders/>
            <w:vAlign w:val="center"/>
          </w:tcPr>
          <w:p>
            <w:pPr>
              <w:pStyle w:val="TableContents"/>
              <w:bidi w:val="0"/>
              <w:spacing w:before="0" w:after="283"/>
              <w:jc w:val="left"/>
              <w:rPr/>
            </w:pPr>
            <w:r>
              <w:rPr/>
              <w:t>Date of Notice</w:t>
            </w:r>
          </w:p>
        </w:tc>
        <w:tc>
          <w:tcPr>
            <w:tcW w:w="7556" w:type="dxa"/>
            <w:tcBorders/>
            <w:vAlign w:val="center"/>
          </w:tcPr>
          <w:p>
            <w:pPr>
              <w:pStyle w:val="TableContents"/>
              <w:bidi w:val="0"/>
              <w:spacing w:before="0" w:after="0"/>
              <w:jc w:val="left"/>
              <w:rPr/>
            </w:pPr>
            <w:r>
              <w:rPr/>
              <w:t>10/07/2026</w:t>
            </w:r>
          </w:p>
        </w:tc>
      </w:tr>
      <w:tr>
        <w:trPr/>
        <w:tc>
          <w:tcPr>
            <w:tcW w:w="2649" w:type="dxa"/>
            <w:tcBorders/>
            <w:vAlign w:val="center"/>
          </w:tcPr>
          <w:p>
            <w:pPr>
              <w:pStyle w:val="TableContents"/>
              <w:bidi w:val="0"/>
              <w:spacing w:before="0" w:after="283"/>
              <w:jc w:val="left"/>
              <w:rPr/>
            </w:pPr>
            <w:r>
              <w:rPr/>
              <w:t>Date of Plan Adoption or Giving of Instruction, If Relying on Rule 10b5-1</w:t>
            </w:r>
          </w:p>
        </w:tc>
        <w:tc>
          <w:tcPr>
            <w:tcW w:w="7556" w:type="dxa"/>
            <w:tcBorders/>
            <w:vAlign w:val="center"/>
          </w:tcPr>
          <w:p>
            <w:pPr>
              <w:pStyle w:val="TableContents"/>
              <w:bidi w:val="0"/>
              <w:spacing w:before="0" w:after="0"/>
              <w:jc w:val="left"/>
              <w:rPr/>
            </w:pPr>
            <w:r>
              <w:rPr/>
              <w:t>05/14/2026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49" w:type="dxa"/>
            <w:tcBorders/>
            <w:vAlign w:val="center"/>
          </w:tcPr>
          <w:p>
            <w:pPr>
              <w:pStyle w:val="TableContents"/>
              <w:bidi w:val="0"/>
              <w:spacing w:before="0" w:after="283"/>
              <w:jc w:val="left"/>
              <w:rPr/>
            </w:pPr>
            <w:r>
              <w:rPr/>
              <w:t>Signature</w:t>
            </w:r>
          </w:p>
        </w:tc>
        <w:tc>
          <w:tcPr>
            <w:tcW w:w="7556" w:type="dxa"/>
            <w:tcBorders/>
            <w:vAlign w:val="center"/>
          </w:tcPr>
          <w:p>
            <w:pPr>
              <w:pStyle w:val="TableContents"/>
              <w:bidi w:val="0"/>
              <w:spacing w:before="0" w:after="0"/>
              <w:jc w:val="left"/>
              <w:rPr/>
            </w:pPr>
            <w:r>
              <w:rPr/>
              <w:t>Michael Schmertzler, as President of S6 GP Holding, LLC, the General Partner of, and on behalf of, Section Six Partners,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4412</Characters>
  <CharactersWithSpaces>5199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