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60630x10q.htm"/>
        <w:bookmarkStart w:id="1" w:name="kstm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120"/>
        <w:ind w:left="0" w:right="0" w:hanging="0"/>
        <w:jc w:val="both"/>
        <w:rPr>
          <w:rFonts w:ascii="Times New Roman;Times;serif" w:hAnsi="Times New Roman;Times;serif"/>
          <w:sz w:val="2"/>
        </w:rPr>
      </w:pPr>
      <w:r>
        <w:rPr>
          <w:rFonts w:ascii="Times New Roman;Times;serif" w:hAnsi="Times New Roman;Times;serif"/>
          <w:sz w:val="2"/>
        </w:rPr>
        <w:t>t</w:t>
      </w:r>
    </w:p>
    <w:p>
      <w:pPr>
        <w:pStyle w:val="TextBody"/>
        <w:bidi w:val="0"/>
        <w:spacing w:before="0" w:after="0"/>
        <w:ind w:left="0" w:right="0" w:hanging="0"/>
        <w:jc w:val="center"/>
        <w:rPr>
          <w:rFonts w:ascii="Times New Roman;Times;serif" w:hAnsi="Times New Roman;Times;serif"/>
          <w:b/>
          <w:sz w:val="36"/>
        </w:rPr>
      </w:pPr>
      <w:bookmarkStart w:id="2" w:name="_ba280822_4e01_4db6_abda_2e30be3b0119"/>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120"/>
        <w:ind w:left="0" w:right="0" w:firstLine="36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120"/>
        <w:ind w:left="0" w:right="0" w:firstLine="36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001-35969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PTC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kQMxyr96zUW76vgK12h-xw_2_2"/>
      <w:bookmarkStart w:id="4" w:name="Tc_h04RkvTmnUK1z9_AQLkenQ_2_0"/>
      <w:bookmarkStart w:id="5" w:name="_a30a268e_211f_4fc3_a495_fbd335e1ad43"/>
      <w:bookmarkStart w:id="6" w:name="Tc_kQMxyr96zUW76vgK12h-xw_2_2"/>
      <w:bookmarkStart w:id="7" w:name="Tc_h04RkvTmnUK1z9_AQLkenQ_2_0"/>
      <w:bookmarkStart w:id="8" w:name="_a30a268e_211f_4fc3_a495_fbd335e1ad43"/>
      <w:bookmarkEnd w:id="6"/>
      <w:bookmarkEnd w:id="7"/>
      <w:bookmarkEnd w:id="8"/>
    </w:p>
    <w:tbl>
      <w:tblPr>
        <w:tblW w:w="8343" w:type="dxa"/>
        <w:jc w:val="left"/>
        <w:tblInd w:w="0" w:type="dxa"/>
        <w:tblLayout w:type="fixed"/>
        <w:tblCellMar>
          <w:top w:w="0" w:type="dxa"/>
          <w:left w:w="0" w:type="dxa"/>
          <w:bottom w:w="0" w:type="dxa"/>
          <w:right w:w="0" w:type="dxa"/>
        </w:tblCellMar>
      </w:tblPr>
      <w:tblGrid>
        <w:gridCol w:w="4966"/>
        <w:gridCol w:w="346"/>
        <w:gridCol w:w="3031"/>
      </w:tblGrid>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04-3416587</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240"/>
              <w:ind w:left="0" w:right="0" w:hanging="0"/>
              <w:jc w:val="center"/>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cBaxT2dD80alSOocWCMDNw_3_2"/>
      <w:bookmarkStart w:id="10" w:name="Tc_hSmn5qyJS02OSoLzvQuMzw_3_0"/>
      <w:bookmarkStart w:id="11" w:name="Tc_FQJ8pq0BikS14UeRtzhk8Q_2_0"/>
      <w:bookmarkStart w:id="12" w:name="_cbf881e6_e64e_4deb_aa56_3e4a268f0531"/>
      <w:bookmarkStart w:id="13" w:name="Tc_cBaxT2dD80alSOocWCMDNw_3_2"/>
      <w:bookmarkStart w:id="14" w:name="Tc_hSmn5qyJS02OSoLzvQuMzw_3_0"/>
      <w:bookmarkStart w:id="15" w:name="Tc_FQJ8pq0BikS14UeRtzhk8Q_2_0"/>
      <w:bookmarkStart w:id="16" w:name="_cbf881e6_e64e_4deb_aa56_3e4a268f0531"/>
      <w:bookmarkEnd w:id="13"/>
      <w:bookmarkEnd w:id="14"/>
      <w:bookmarkEnd w:id="15"/>
      <w:bookmarkEnd w:id="16"/>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500 Warren Corporate Center Drive</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24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Warren, NJ</w:t>
            </w:r>
          </w:p>
        </w:tc>
        <w:tc>
          <w:tcPr>
            <w:tcW w:w="34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07059</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222-7000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otXsTlmpgkm2szcoIh8NFg_1_4"/>
      <w:bookmarkStart w:id="18" w:name="Tc_fUwA1syic0e2RdbdSg6Fiw_1_2"/>
      <w:bookmarkStart w:id="19" w:name="Tc_9LSrXp6vGUuV2U76P8QvNg_1_0"/>
      <w:bookmarkStart w:id="20" w:name="_2f4a0eea_05cf_4b07_a8bf_faf265e280c1"/>
      <w:bookmarkStart w:id="21" w:name="Tc_otXsTlmpgkm2szcoIh8NFg_1_4"/>
      <w:bookmarkStart w:id="22" w:name="Tc_fUwA1syic0e2RdbdSg6Fiw_1_2"/>
      <w:bookmarkStart w:id="23" w:name="Tc_9LSrXp6vGUuV2U76P8QvNg_1_0"/>
      <w:bookmarkStart w:id="24" w:name="_2f4a0eea_05cf_4b07_a8bf_faf265e280c1"/>
      <w:bookmarkEnd w:id="21"/>
      <w:bookmarkEnd w:id="22"/>
      <w:bookmarkEnd w:id="23"/>
      <w:bookmarkEnd w:id="24"/>
    </w:p>
    <w:tbl>
      <w:tblPr>
        <w:tblW w:w="9815" w:type="dxa"/>
        <w:jc w:val="left"/>
        <w:tblInd w:w="0" w:type="dxa"/>
        <w:tblLayout w:type="fixed"/>
        <w:tblCellMar>
          <w:top w:w="0" w:type="dxa"/>
          <w:left w:w="0" w:type="dxa"/>
          <w:bottom w:w="0" w:type="dxa"/>
          <w:right w:w="0" w:type="dxa"/>
        </w:tblCellMar>
      </w:tblPr>
      <w:tblGrid>
        <w:gridCol w:w="3601"/>
        <w:gridCol w:w="346"/>
        <w:gridCol w:w="1696"/>
        <w:gridCol w:w="346"/>
        <w:gridCol w:w="3826"/>
      </w:tblGrid>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36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vAlign w:val="center"/>
          </w:tcPr>
          <w:p>
            <w:pPr>
              <w:pStyle w:val="TableContents"/>
              <w:bidi w:val="0"/>
              <w:spacing w:before="0" w:after="0"/>
              <w:ind w:left="0" w:right="0" w:hanging="0"/>
              <w:jc w:val="center"/>
              <w:rPr/>
            </w:pPr>
            <w:r>
              <w:rPr/>
              <w:t>  ​ ​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0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6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PTCT</w:t>
            </w:r>
          </w:p>
        </w:tc>
        <w:tc>
          <w:tcPr>
            <w:tcW w:w="346" w:type="dxa"/>
            <w:tcBorders/>
            <w:vAlign w:val="center"/>
          </w:tcPr>
          <w:p>
            <w:pPr>
              <w:pStyle w:val="TableContents"/>
              <w:bidi w:val="0"/>
              <w:spacing w:before="0" w:after="240"/>
              <w:ind w:left="0" w:right="0" w:hanging="0"/>
              <w:jc w:val="center"/>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lbAIMnskJkmR0UMtGZ7igw_5_2"/>
      <w:bookmarkStart w:id="26" w:name="Tc_HIGwlvdgjUynMQMkZniPKA_3_2"/>
      <w:bookmarkStart w:id="27" w:name="Tc_aClS4-rLZ0yKvYuil2c2HQ_3_1"/>
      <w:bookmarkStart w:id="28" w:name="Tc_qCnWxZ3ZOkKDP54jjJS4_w_3_0"/>
      <w:bookmarkStart w:id="29" w:name="Tc_QOZ5OVL7tEytJYyYHJ-qtQ_1_3"/>
      <w:bookmarkStart w:id="30" w:name="Tc_JdjZ1R5qOUafQfhOClRsfw_1_2"/>
      <w:bookmarkStart w:id="31" w:name="Tc_ZRBQhlmWTki3Seb6kyL-lQ_1_1"/>
      <w:bookmarkStart w:id="32" w:name="_f50cba8c_9930_428a_92ac_6262de7518ff"/>
      <w:bookmarkStart w:id="33" w:name="Tc_lbAIMnskJkmR0UMtGZ7igw_5_2"/>
      <w:bookmarkStart w:id="34" w:name="Tc_HIGwlvdgjUynMQMkZniPKA_3_2"/>
      <w:bookmarkStart w:id="35" w:name="Tc_aClS4-rLZ0yKvYuil2c2HQ_3_1"/>
      <w:bookmarkStart w:id="36" w:name="Tc_qCnWxZ3ZOkKDP54jjJS4_w_3_0"/>
      <w:bookmarkStart w:id="37" w:name="Tc_QOZ5OVL7tEytJYyYHJ-qtQ_1_3"/>
      <w:bookmarkStart w:id="38" w:name="Tc_JdjZ1R5qOUafQfhOClRsfw_1_2"/>
      <w:bookmarkStart w:id="39" w:name="Tc_ZRBQhlmWTki3Seb6kyL-lQ_1_1"/>
      <w:bookmarkStart w:id="40" w:name="_f50cba8c_9930_428a_92ac_6262de7518ff"/>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of July 29, 2026, there were 83,460,802 shares of Common Stock, $0.001 par value per share, outstanding.</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TOC"/>
      <w:bookmarkStart w:id="42" w:name="_f3575b7e_c284_49d1_96ee_88785f317484"/>
      <w:bookmarkEnd w:id="41"/>
      <w:bookmarkEnd w:id="42"/>
      <w:r>
        <w:rPr>
          <w:rFonts w:ascii="Times New Roman;Times;serif" w:hAnsi="Times New Roman;Times;serif"/>
          <w:b/>
          <w:sz w:val="20"/>
        </w:rPr>
        <w:t>TABLE OF CONTENTS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PTC Therapeutics, Inc.</w:t>
      </w:r>
    </w:p>
    <w:tbl>
      <w:tblPr>
        <w:tblW w:w="8882" w:type="dxa"/>
        <w:jc w:val="left"/>
        <w:tblInd w:w="0" w:type="dxa"/>
        <w:tblLayout w:type="fixed"/>
        <w:tblCellMar>
          <w:top w:w="0" w:type="dxa"/>
          <w:left w:w="0" w:type="dxa"/>
          <w:bottom w:w="0" w:type="dxa"/>
          <w:right w:w="0" w:type="dxa"/>
        </w:tblCellMar>
      </w:tblPr>
      <w:tblGrid>
        <w:gridCol w:w="7981"/>
        <w:gridCol w:w="901"/>
      </w:tblGrid>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981" w:type="dxa"/>
            <w:tcBorders/>
            <w:vAlign w:val="center"/>
          </w:tcPr>
          <w:p>
            <w:pPr>
              <w:pStyle w:val="TableContents"/>
              <w:bidi w:val="0"/>
              <w:spacing w:before="0" w:after="0"/>
              <w:ind w:left="0" w:right="0" w:hanging="0"/>
              <w:jc w:val="center"/>
              <w:rPr/>
            </w:pPr>
            <w:hyperlink w:anchor="PARTIFINANCIALINFORMATION_746227">
              <w:r>
                <w:rPr>
                  <w:rStyle w:val="InternetLink"/>
                  <w:rFonts w:ascii="Times New Roman;Times;serif" w:hAnsi="Times New Roman;Times;serif"/>
                  <w:b/>
                  <w:i w:val="false"/>
                  <w:caps w:val="false"/>
                  <w:smallCaps w:val="false"/>
                  <w:sz w:val="20"/>
                </w:rPr>
                <w:t>PART I—FINANCIAL INFORMATION</w:t>
              </w:r>
            </w:hyperlink>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FinancialStatements_575080">
              <w:r>
                <w:rPr>
                  <w:rStyle w:val="InternetLink"/>
                  <w:rFonts w:ascii="Times New Roman;Times;serif" w:hAnsi="Times New Roman;Times;serif"/>
                  <w:b w:val="false"/>
                  <w:i w:val="false"/>
                  <w:caps w:val="false"/>
                  <w:smallCaps w:val="false"/>
                  <w:sz w:val="20"/>
                </w:rPr>
                <w:t>Item 1. Financial Statements (unaudited)</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472098">
              <w:r>
                <w:rPr>
                  <w:rStyle w:val="InternetLink"/>
                  <w:rFonts w:ascii="Times New Roman;Times;serif" w:hAnsi="Times New Roman;Times;serif"/>
                  <w:b w:val="false"/>
                  <w:i w:val="false"/>
                  <w:caps w:val="false"/>
                  <w:smallCaps w:val="false"/>
                  <w:sz w:val="20"/>
                </w:rPr>
                <w:t>Item 4. Controls and Procedures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center"/>
              <w:rPr/>
            </w:pPr>
            <w:hyperlink w:anchor="PARTIIOTHERINFORMATION_312536">
              <w:r>
                <w:rPr>
                  <w:rStyle w:val="InternetLink"/>
                  <w:rFonts w:ascii="Times New Roman;Times;serif" w:hAnsi="Times New Roman;Times;serif"/>
                  <w:b/>
                  <w:i w:val="false"/>
                  <w:caps w:val="false"/>
                  <w:smallCaps w:val="false"/>
                  <w:sz w:val="20"/>
                </w:rPr>
                <w:t>PART II—OTHER INFORMATION</w:t>
              </w:r>
            </w:hyperlink>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LegalProceedings_593195">
              <w:r>
                <w:rPr>
                  <w:rStyle w:val="InternetLink"/>
                  <w:rFonts w:ascii="Times New Roman;Times;serif" w:hAnsi="Times New Roman;Times;serif"/>
                  <w:b w:val="false"/>
                  <w:i w:val="false"/>
                  <w:caps w:val="false"/>
                  <w:smallCaps w:val="false"/>
                  <w:sz w:val="20"/>
                </w:rPr>
                <w:t>Item 1. Legal Proceedings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ARiskFactors_708797">
              <w:r>
                <w:rPr>
                  <w:rStyle w:val="InternetLink"/>
                  <w:rFonts w:ascii="Times New Roman;Times;serif" w:hAnsi="Times New Roman;Times;serif"/>
                  <w:b w:val="false"/>
                  <w:i w:val="false"/>
                  <w:caps w:val="false"/>
                  <w:smallCaps w:val="false"/>
                  <w:sz w:val="20"/>
                </w:rPr>
                <w:t>Item 1A. Risk Factors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5OtherInformation_403682">
              <w:r>
                <w:rPr>
                  <w:rStyle w:val="InternetLink"/>
                  <w:rFonts w:ascii="Times New Roman;Times;serif" w:hAnsi="Times New Roman;Times;serif"/>
                  <w:b w:val="false"/>
                  <w:i w:val="false"/>
                  <w:caps w:val="false"/>
                  <w:smallCaps w:val="false"/>
                  <w:sz w:val="20"/>
                </w:rPr>
                <w:t>Item 5. Other Information</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6Exhibits_210333">
              <w:r>
                <w:rPr>
                  <w:rStyle w:val="InternetLink"/>
                  <w:rFonts w:ascii="Times New Roman;Times;serif" w:hAnsi="Times New Roman;Times;serif"/>
                  <w:b w:val="false"/>
                  <w:i w:val="false"/>
                  <w:caps w:val="false"/>
                  <w:smallCaps w:val="false"/>
                  <w:sz w:val="20"/>
                </w:rPr>
                <w:t>Item 6. Exhibits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54bc6fc8_ba09_4cbb_8faa_a3c9da612aac"/>
      <w:bookmarkEnd w:id="43"/>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“aim,” and similar expressions are intended to identify forward-looking statements, although not all forward-looking statements contain these identifying words.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pricing, coverage and reimbursement negotiations with third party payors for our products or product candidates that we commercialize or may commercialize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Sephience™ (sepiapterin) for the treatment of phenylketonuria, or PKU, including commercialization and the potential achievement of sales milestones and contingent payments that we may be obligated to make;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marketing authorization of Translarna™ (ataluren) for the treatment of nonsense mutation Duchenne muscular dystrophy, or nmDMD, in geographies in which it has approval, including the effect of the European Commission's adoption of the negative opinion from the Committee for Medicinal Products for Human Use on Translarna, and the impact of the withdrawal of the Translarna new drug application in the United States, on existing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the ability and willingness of individual countries within the European Union, or EU, to leverage Articles 117(3) and 5(1) of the EU Directive 2001/83 to allow continued commercial use of Translarna;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our license and collaboration agreement with Novartis Pharmaceuticals Corporation, or Novartis, for votoplam for the treatment of Huntington's disease, including our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vatiquinone for the treatment of Friedreich’s ataxia, including with respect to the design and expected timing of clinical trials and studies, the availability of data, and regulatory submissions and responses and potential approvals and other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Upstaza™/Kebilidi™ (eladocagene exuparvovec)/(eladocagene exuparvovec-tneq) for the treatment of Aromatic L-Amino Decarboxylase deficiency, including commercialization, manufacturing capabilities, and the potential achievement of sales milestones and contingent payments that we may be obligated to make;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commercialization of Evrysdi® (risdiplam) for the treatment of spinal muscular atrophy, or SMA, under our program directed against SMA in collaboration with F. Hoffmann La Roche Ltd and Hoffmann La Roche Inc. and the Spinal Muscular Atrophy Foundation and our estimates regarding future revenues from the achievement of milestones in that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and the potential financial impact and benefits related to our Collaboration and License Agreement with a subsidiary of Ionis Pharmaceuticals, Inc., including the commercialization of Tegsedi® and Waylivra®, and our expectations with respect to royalty payments by us based on our potential achievement of certain net sales thresholds;</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business effects, including the effects of industry, market, economic, political or regulatory conditions;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and other laws, regulations, rates and policies;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our commercialization of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the potential market opportunity for our products or product candidates, including the size of eligible patient populations and our ability to identify such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early access programs for our products on adequate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revenues, third-party discounts and rebates, capital requirements and needs for additional financing, including our ability to maintain the level of our expenses consistent with our internal budgets and forecasts;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any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our products and product candidates through alternative means if pricing and reimbursement negotiations in the applicable territory do not have a positive outcome;</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additional marketing authorizations for our products and product candidates;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products and our product candidates to meet existing or future regulatory standards;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receipt of revenues from future sales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impact of our loss of market exclusivity for Emflaza® (deflazacort) for the treatment of Duchenne muscular dystrophy in the United States under the Orphan Drug Act of 1983;</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scientific approach and general development progress;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arrangements for the manufacture of our products and product candidates that are sufficient to meet clinical trial and commercial launch requirements;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any post-marketing requirements imposed by regulatory agencies with respect to our products;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terms of our lease agreements;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our 0% convertible senior notes due 2031;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our 1.50% convertible senior notes due September 15,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regulatory submissions, including with respect to timing and outcome of regulatory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and conduct of our ongoing, planned and potential future clinical trials and studies for our splicing and inflammation and ferroptosis programs</w:t>
            </w:r>
            <w:r>
              <w:rPr>
                <w:caps w:val="false"/>
                <w:smallCaps w:val="false"/>
              </w:rPr>
              <w:t xml:space="preserve"> </w:t>
            </w:r>
            <w:r>
              <w:rPr>
                <w:rFonts w:ascii="Times New Roman;Times;serif" w:hAnsi="Times New Roman;Times;serif"/>
                <w:b w:val="false"/>
                <w:i w:val="false"/>
                <w:caps w:val="false"/>
                <w:smallCaps w:val="false"/>
                <w:sz w:val="20"/>
              </w:rPr>
              <w:t>as well as studies in our products for maintaining authorizations, label extensions and additional indications, including the timing of initiation, enrollment and completion of the trials and the period during which the results of the trials will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advance our earlier stage programs and pursue research and development of other product candidates, including our splicing and inflammation and ferroptosis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obtain adequate financing in the future on favorable terms or at all, for our foreseeable and unforeseeable operating expenses and capital expenditure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our products and any product candidate;</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litigation that has been or may be brought against us or of litigation that we are pursuing against others; and</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as well as in Part I, Item 1A. Risk Factors in our Annual Report on Form 10-K for the year ended December 31, 2025,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and our Annual Report on Form 10-K for the year ended December 31, 2025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website addresses given in this Quarterly Report on Form 10-Q are for information only and are not intended to be an active link or to incorporate any website information into this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FINANCIALINFORMATION_746227"/>
      <w:bookmarkStart w:id="45" w:name="_3cddb18e_fa92_49dd_9ef3_d594a08ff079"/>
      <w:bookmarkEnd w:id="44"/>
      <w:bookmarkEnd w:id="45"/>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bookmarkStart w:id="46" w:name="Item1FinancialStatements_575080"/>
      <w:bookmarkEnd w:id="46"/>
      <w:r>
        <w:rPr>
          <w:rFonts w:ascii="Times New Roman;Times;serif" w:hAnsi="Times New Roman;Times;serif"/>
          <w:b/>
          <w:sz w:val="20"/>
        </w:rPr>
        <w:t>Item 1.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Sheets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w:t>
      </w:r>
    </w:p>
    <w:p>
      <w:pPr>
        <w:pStyle w:val="Normal"/>
        <w:bidi w:val="0"/>
        <w:spacing w:before="0" w:after="0"/>
        <w:jc w:val="left"/>
        <w:rPr>
          <w:sz w:val="4"/>
          <w:szCs w:val="4"/>
        </w:rPr>
      </w:pPr>
      <w:r>
        <w:rPr>
          <w:sz w:val="4"/>
          <w:szCs w:val="4"/>
        </w:rPr>
      </w:r>
      <w:bookmarkStart w:id="47" w:name="Tc_8u4adANsnEaY1i4IOh30Cw_38_5"/>
      <w:bookmarkStart w:id="48" w:name="Tc_8hfGzmYOTkC00VQz4GkXuw_38_2"/>
      <w:bookmarkStart w:id="49" w:name="Tc_168eenh-AEG9TfIUxmGSfA_38_0"/>
      <w:bookmarkStart w:id="50" w:name="Tc_gFJ6elrkJUGE2_-q3TJ6ug_37_0"/>
      <w:bookmarkStart w:id="51" w:name="Tc_5nwqZledwEmqKi4WT6mcLA_36_0"/>
      <w:bookmarkStart w:id="52" w:name="Tc_Z5_U-NAAg0aDsxx9q2qNqA_35_0"/>
      <w:bookmarkStart w:id="53" w:name="Tc_4ngj7bhXVUeVYIdgkWVlLQ_34_0"/>
      <w:bookmarkStart w:id="54" w:name="Tc_4un2mAo3ZUaMoNNxTchMIA_33_0"/>
      <w:bookmarkStart w:id="55" w:name="Tc_QauRozeH-EqlEELNgSyfVA_32_0"/>
      <w:bookmarkStart w:id="56" w:name="Tc_sPNXcTEcbEaH10iVMSsmNw_31_0"/>
      <w:bookmarkStart w:id="57" w:name="Tc_DCUeI-5FakWv8PPoJzIKiA_30_0"/>
      <w:bookmarkStart w:id="58" w:name="Tc_jUGLOseIZkeuxl9OulBn3A_29_0"/>
      <w:bookmarkStart w:id="59" w:name="Tc_bB6g091wLEKSlqw_0t9zIg_28_3"/>
      <w:bookmarkStart w:id="60" w:name="Tc_cfqmX4CPZEyaxbde6qp3zQ_28_0"/>
      <w:bookmarkStart w:id="61" w:name="Tc_eOj-6y2Jmk-cR65VRRuwcQ_27_0"/>
      <w:bookmarkStart w:id="62" w:name="Tc_0QdYmeWm5EeQaVpVLCMoxQ_26_6"/>
      <w:bookmarkStart w:id="63" w:name="Tc_XIt7_b8SE0SMh6vMkutL8w_26_0"/>
      <w:bookmarkStart w:id="64" w:name="Tc_xhQ7wvA-yky5Pp9i7C-YGw_25_0"/>
      <w:bookmarkStart w:id="65" w:name="Tc_Gky2MJqQNUaYHLNhdd3qQw_24_0"/>
      <w:bookmarkStart w:id="66" w:name="Tc_PgCC_k5890Kz8pdAv2KXyQ_23_0"/>
      <w:bookmarkStart w:id="67" w:name="Tc_rkTfEFyUaUC1fEcbpNOdRw_22_0"/>
      <w:bookmarkStart w:id="68" w:name="Tc_eIKPcSDeCk2rAXKGBelJTg_21_0"/>
      <w:bookmarkStart w:id="69" w:name="Tc_MlHjUbwiZk6w3T09WGcbmg_20_0"/>
      <w:bookmarkStart w:id="70" w:name="Tc_SgKNxZfXW0eod8tB5DFc1Q_19_5"/>
      <w:bookmarkStart w:id="71" w:name="Tc_bvVdThguF0-3C7p-y10Ebg_19_2"/>
      <w:bookmarkStart w:id="72" w:name="Tc_YPzQkYjP9k-Rd2yBCnu8sg_19_0"/>
      <w:bookmarkStart w:id="73" w:name="Tc_ek1ZjwsUH02_6Zn5zoH6kQ_18_0"/>
      <w:bookmarkStart w:id="74" w:name="Tc_qNl6LubP9ky6fWtvYH3N7w_17_0"/>
      <w:bookmarkStart w:id="75" w:name="Tc_FloXps137UOpxCRExeugFA_16_5"/>
      <w:bookmarkStart w:id="76" w:name="Tc_LwNeCPk7sk2NRO2cWBZoSA_16_2"/>
      <w:bookmarkStart w:id="77" w:name="Tc_3jPMmAgorESqD8U2H-hRQw_16_0"/>
      <w:bookmarkStart w:id="78" w:name="Tc_cOOQoiza5EuFY2Bg59rb6g_15_0"/>
      <w:bookmarkStart w:id="79" w:name="Tc_odUnn-hoS02AwIEfX822VQ_14_0"/>
      <w:bookmarkStart w:id="80" w:name="Tc_pQmxeU4HXU2YoRHAlyAOxA_13_0"/>
      <w:bookmarkStart w:id="81" w:name="Tc_v9wEYLU0YUWIFSQlupSvuA_12_0"/>
      <w:bookmarkStart w:id="82" w:name="Tc_CO_vJpJU9kKtXyfw63rwRg_11_0"/>
      <w:bookmarkStart w:id="83" w:name="Tc_o7QEEfjFKkyyyHyY5Amdqg_10_0"/>
      <w:bookmarkStart w:id="84" w:name="Tc_CxOcMm36TU6IncaNy-VRsg_9_0"/>
      <w:bookmarkStart w:id="85" w:name="Tc_WG6lCzwm3kSuSeoevwEQjw_8_0"/>
      <w:bookmarkStart w:id="86" w:name="Tc_ip0XdZZiqkOjtH0qumcuOg_7_0"/>
      <w:bookmarkStart w:id="87" w:name="Tc_fdCP0uw0QkqcxMJF-IQeuA_6_0"/>
      <w:bookmarkStart w:id="88" w:name="Tc_sNM2EcXbdkCUrG3uWkhc9w_5_5"/>
      <w:bookmarkStart w:id="89" w:name="Tc_0rTmKDlbdUuQa-O7-o5W_A_5_2"/>
      <w:bookmarkStart w:id="90" w:name="Tc_TPaxuc-fYE6FOYcz_cEgbg_5_0"/>
      <w:bookmarkStart w:id="91" w:name="Tc_GGHQAIauS0ixLqR1u_fZbw_4_0"/>
      <w:bookmarkStart w:id="92" w:name="Tc_j-8xRs_l9UG3fKoEHxZISw_3_0"/>
      <w:bookmarkStart w:id="93" w:name="Tc_PbV1-3ORGkCQq2A0JBBIHw_2_5"/>
      <w:bookmarkStart w:id="94" w:name="Tc_7zXDfuJ6wUiATgO6ku3gFg_2_2"/>
      <w:bookmarkStart w:id="95" w:name="Tc_Ifufs2-U0kaVhKDRjF-7fA_1_5"/>
      <w:bookmarkStart w:id="96" w:name="Tc_ILmdvxHxVUytmacIT0AiVQ_1_2"/>
      <w:bookmarkStart w:id="97" w:name="_4c881911_04ae_4fc0_b8dc_1886b8854c3a"/>
      <w:bookmarkStart w:id="98" w:name="Tc_8u4adANsnEaY1i4IOh30Cw_38_5"/>
      <w:bookmarkStart w:id="99" w:name="Tc_8hfGzmYOTkC00VQz4GkXuw_38_2"/>
      <w:bookmarkStart w:id="100" w:name="Tc_168eenh-AEG9TfIUxmGSfA_38_0"/>
      <w:bookmarkStart w:id="101" w:name="Tc_gFJ6elrkJUGE2_-q3TJ6ug_37_0"/>
      <w:bookmarkStart w:id="102" w:name="Tc_5nwqZledwEmqKi4WT6mcLA_36_0"/>
      <w:bookmarkStart w:id="103" w:name="Tc_Z5_U-NAAg0aDsxx9q2qNqA_35_0"/>
      <w:bookmarkStart w:id="104" w:name="Tc_4ngj7bhXVUeVYIdgkWVlLQ_34_0"/>
      <w:bookmarkStart w:id="105" w:name="Tc_4un2mAo3ZUaMoNNxTchMIA_33_0"/>
      <w:bookmarkStart w:id="106" w:name="Tc_QauRozeH-EqlEELNgSyfVA_32_0"/>
      <w:bookmarkStart w:id="107" w:name="Tc_sPNXcTEcbEaH10iVMSsmNw_31_0"/>
      <w:bookmarkStart w:id="108" w:name="Tc_DCUeI-5FakWv8PPoJzIKiA_30_0"/>
      <w:bookmarkStart w:id="109" w:name="Tc_jUGLOseIZkeuxl9OulBn3A_29_0"/>
      <w:bookmarkStart w:id="110" w:name="Tc_bB6g091wLEKSlqw_0t9zIg_28_3"/>
      <w:bookmarkStart w:id="111" w:name="Tc_cfqmX4CPZEyaxbde6qp3zQ_28_0"/>
      <w:bookmarkStart w:id="112" w:name="Tc_eOj-6y2Jmk-cR65VRRuwcQ_27_0"/>
      <w:bookmarkStart w:id="113" w:name="Tc_0QdYmeWm5EeQaVpVLCMoxQ_26_6"/>
      <w:bookmarkStart w:id="114" w:name="Tc_XIt7_b8SE0SMh6vMkutL8w_26_0"/>
      <w:bookmarkStart w:id="115" w:name="Tc_xhQ7wvA-yky5Pp9i7C-YGw_25_0"/>
      <w:bookmarkStart w:id="116" w:name="Tc_Gky2MJqQNUaYHLNhdd3qQw_24_0"/>
      <w:bookmarkStart w:id="117" w:name="Tc_PgCC_k5890Kz8pdAv2KXyQ_23_0"/>
      <w:bookmarkStart w:id="118" w:name="Tc_rkTfEFyUaUC1fEcbpNOdRw_22_0"/>
      <w:bookmarkStart w:id="119" w:name="Tc_eIKPcSDeCk2rAXKGBelJTg_21_0"/>
      <w:bookmarkStart w:id="120" w:name="Tc_MlHjUbwiZk6w3T09WGcbmg_20_0"/>
      <w:bookmarkStart w:id="121" w:name="Tc_SgKNxZfXW0eod8tB5DFc1Q_19_5"/>
      <w:bookmarkStart w:id="122" w:name="Tc_bvVdThguF0-3C7p-y10Ebg_19_2"/>
      <w:bookmarkStart w:id="123" w:name="Tc_YPzQkYjP9k-Rd2yBCnu8sg_19_0"/>
      <w:bookmarkStart w:id="124" w:name="Tc_ek1ZjwsUH02_6Zn5zoH6kQ_18_0"/>
      <w:bookmarkStart w:id="125" w:name="Tc_qNl6LubP9ky6fWtvYH3N7w_17_0"/>
      <w:bookmarkStart w:id="126" w:name="Tc_FloXps137UOpxCRExeugFA_16_5"/>
      <w:bookmarkStart w:id="127" w:name="Tc_LwNeCPk7sk2NRO2cWBZoSA_16_2"/>
      <w:bookmarkStart w:id="128" w:name="Tc_3jPMmAgorESqD8U2H-hRQw_16_0"/>
      <w:bookmarkStart w:id="129" w:name="Tc_cOOQoiza5EuFY2Bg59rb6g_15_0"/>
      <w:bookmarkStart w:id="130" w:name="Tc_odUnn-hoS02AwIEfX822VQ_14_0"/>
      <w:bookmarkStart w:id="131" w:name="Tc_pQmxeU4HXU2YoRHAlyAOxA_13_0"/>
      <w:bookmarkStart w:id="132" w:name="Tc_v9wEYLU0YUWIFSQlupSvuA_12_0"/>
      <w:bookmarkStart w:id="133" w:name="Tc_CO_vJpJU9kKtXyfw63rwRg_11_0"/>
      <w:bookmarkStart w:id="134" w:name="Tc_o7QEEfjFKkyyyHyY5Amdqg_10_0"/>
      <w:bookmarkStart w:id="135" w:name="Tc_CxOcMm36TU6IncaNy-VRsg_9_0"/>
      <w:bookmarkStart w:id="136" w:name="Tc_WG6lCzwm3kSuSeoevwEQjw_8_0"/>
      <w:bookmarkStart w:id="137" w:name="Tc_ip0XdZZiqkOjtH0qumcuOg_7_0"/>
      <w:bookmarkStart w:id="138" w:name="Tc_fdCP0uw0QkqcxMJF-IQeuA_6_0"/>
      <w:bookmarkStart w:id="139" w:name="Tc_sNM2EcXbdkCUrG3uWkhc9w_5_5"/>
      <w:bookmarkStart w:id="140" w:name="Tc_0rTmKDlbdUuQa-O7-o5W_A_5_2"/>
      <w:bookmarkStart w:id="141" w:name="Tc_TPaxuc-fYE6FOYcz_cEgbg_5_0"/>
      <w:bookmarkStart w:id="142" w:name="Tc_GGHQAIauS0ixLqR1u_fZbw_4_0"/>
      <w:bookmarkStart w:id="143" w:name="Tc_j-8xRs_l9UG3fKoEHxZISw_3_0"/>
      <w:bookmarkStart w:id="144" w:name="Tc_PbV1-3ORGkCQq2A0JBBIHw_2_5"/>
      <w:bookmarkStart w:id="145" w:name="Tc_7zXDfuJ6wUiATgO6ku3gFg_2_2"/>
      <w:bookmarkStart w:id="146" w:name="Tc_Ifufs2-U0kaVhKDRjF-7fA_1_5"/>
      <w:bookmarkStart w:id="147" w:name="Tc_ILmdvxHxVUytmacIT0AiVQ_1_2"/>
      <w:bookmarkStart w:id="148" w:name="_4c881911_04ae_4fc0_b8dc_1886b8854c3a"/>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W w:w="10205" w:type="dxa"/>
        <w:jc w:val="left"/>
        <w:tblInd w:w="0" w:type="dxa"/>
        <w:tblLayout w:type="fixed"/>
        <w:tblCellMar>
          <w:top w:w="0" w:type="dxa"/>
          <w:left w:w="0" w:type="dxa"/>
          <w:bottom w:w="0" w:type="dxa"/>
          <w:right w:w="0" w:type="dxa"/>
        </w:tblCellMar>
      </w:tblPr>
      <w:tblGrid>
        <w:gridCol w:w="6917"/>
        <w:gridCol w:w="346"/>
        <w:gridCol w:w="211"/>
        <w:gridCol w:w="1009"/>
        <w:gridCol w:w="346"/>
        <w:gridCol w:w="211"/>
        <w:gridCol w:w="1009"/>
        <w:gridCol w:w="156"/>
      </w:tblGrid>
      <w:tr>
        <w:trPr/>
        <w:tc>
          <w:tcPr>
            <w:tcW w:w="6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392295" cy="175260"/>
                      <wp:effectExtent l="0" t="0" r="0" b="0"/>
                      <wp:wrapNone/>
                      <wp:docPr id="1" name="Frame1"/>
                      <a:graphic xmlns:a="http://schemas.openxmlformats.org/drawingml/2006/main">
                        <a:graphicData uri="http://schemas.microsoft.com/office/word/2010/wordprocessingShape">
                          <wps:wsp>
                            <wps:cNvSpPr txBox="1"/>
                            <wps:spPr>
                              <a:xfrm>
                                <a:off x="0" y="0"/>
                                <a:ext cx="439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0715" cy="175260"/>
                      <wp:effectExtent l="0" t="0" r="0" b="0"/>
                      <wp:wrapNone/>
                      <wp:docPr id="4" name="Frame4"/>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0715" cy="175260"/>
                      <wp:effectExtent l="0" t="0" r="0" b="0"/>
                      <wp:wrapNone/>
                      <wp:docPr id="7" name="Frame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9060" cy="175260"/>
                      <wp:effectExtent l="0" t="0" r="0" b="0"/>
                      <wp:wrapNone/>
                      <wp:docPr id="8" name="Frame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984,648</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960,723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royalty receivables,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181,621</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79,647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67,309</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2,273,948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55,371</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388,753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80,053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18,301</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3,250,477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2,898,767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381,272</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286,631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314,215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283,000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771,068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968,427</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535,519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93,583</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noncurrent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2,007,219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2,025,366</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3,415,840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3,104,080</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$0.001 par value. Authorized 250,000,000 shares; issued and outstanding 83,327,286 shares at June 30, 2026. Authorized 250,000,000 shares; issued and outstanding 81,474,366 shares at December 31,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2,748,335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income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10,501</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(2,883,542)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(2,964,229)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(205,313)</w:t>
            </w:r>
          </w:p>
        </w:tc>
        <w:tc>
          <w:tcPr>
            <w:tcW w:w="156"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3,250,477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2,898,767</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9" w:name="_19e73c14_83dc_4c97_b63e_1fb09b308ecb"/>
      <w:bookmarkEnd w:id="149"/>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Operations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 and per share amounts)</w:t>
      </w:r>
    </w:p>
    <w:p>
      <w:pPr>
        <w:pStyle w:val="Normal"/>
        <w:bidi w:val="0"/>
        <w:spacing w:before="0" w:after="0"/>
        <w:jc w:val="left"/>
        <w:rPr>
          <w:sz w:val="4"/>
          <w:szCs w:val="4"/>
        </w:rPr>
      </w:pPr>
      <w:r>
        <w:rPr>
          <w:sz w:val="4"/>
          <w:szCs w:val="4"/>
        </w:rPr>
      </w:r>
      <w:bookmarkStart w:id="150" w:name="Tc_1dZ4OXGnzk6sCZ7nXuUrwg_26_11"/>
      <w:bookmarkStart w:id="151" w:name="Tc_63kTx4rox0aBu0NYhsp-hw_26_8"/>
      <w:bookmarkStart w:id="152" w:name="Tc_RIbubF8PckSu9O_PgZgy-A_26_5"/>
      <w:bookmarkStart w:id="153" w:name="Tc_cdcXQyam5kai2ZSR3CX9tw_26_2"/>
      <w:bookmarkStart w:id="154" w:name="Tc_qvRQAHRAu0yvUHOCPywMgA_26_0"/>
      <w:bookmarkStart w:id="155" w:name="Tc_Jx98vY8O8UWscBXehISajA_25_11"/>
      <w:bookmarkStart w:id="156" w:name="Tc_AlU9RmsBc06oF_xz2dGZXQ_25_8"/>
      <w:bookmarkStart w:id="157" w:name="Tc_QxNKCh_B4UCBimZTQYEavQ_25_5"/>
      <w:bookmarkStart w:id="158" w:name="Tc_M_M_E-jFwkWo3uTZXzjH_w_25_2"/>
      <w:bookmarkStart w:id="159" w:name="Tc_djY2vGy_bUKcEzPushHZRw_25_0"/>
      <w:bookmarkStart w:id="160" w:name="Tc_GaIIoaHOkEmU8LZx_e--Gw_24_0"/>
      <w:bookmarkStart w:id="161" w:name="Tc_GwoeOZijNUy8QVwfm_Yu2A_23_0"/>
      <w:bookmarkStart w:id="162" w:name="Tc_89Bnyocap0Wu5jqk3DMXKw_22_0"/>
      <w:bookmarkStart w:id="163" w:name="Tc_He8Ggzq-xUSZVsKZHwuq8Q_21_11"/>
      <w:bookmarkStart w:id="164" w:name="Tc_l2E3-rUm3Ea1w6TJ8EjoGg_21_8"/>
      <w:bookmarkStart w:id="165" w:name="Tc_7Z_4b9vIV0qPIGzl68Nlng_21_5"/>
      <w:bookmarkStart w:id="166" w:name="Tc_7kcqr-sel06F8TCWv7mfOw_21_2"/>
      <w:bookmarkStart w:id="167" w:name="Tc_i2vLzxtg2k6b5yLny4O2tg_21_0"/>
      <w:bookmarkStart w:id="168" w:name="Tc_f8AM7pF4Hkqx7BsSOAlP7A_20_0"/>
      <w:bookmarkStart w:id="169" w:name="Tc_Qswl6l1uSEeZeKJcra2plA_19_0"/>
      <w:bookmarkStart w:id="170" w:name="Tc_bKS1X9FWg0m0r3at7sZk6g_18_0"/>
      <w:bookmarkStart w:id="171" w:name="Tc_-6Uwrr2lMkuWlwi0XwlDBg_17_0"/>
      <w:bookmarkStart w:id="172" w:name="Tc_Y0n3-Lz6g0m1eW1gZsx-jg_16_0"/>
      <w:bookmarkStart w:id="173" w:name="Tc_BL_JDmiQ2ESvb6yFAiam_g_15_0"/>
      <w:bookmarkStart w:id="174" w:name="Tc_SnqzimRvh0q8Q-70QOC25Q_14_3"/>
      <w:bookmarkStart w:id="175" w:name="Tc_5KyEU2nWDE6VlCbUetFCQg_14_0"/>
      <w:bookmarkStart w:id="176" w:name="Tc_-mxhCLXwj0SAfcey3RLSHA_13_9"/>
      <w:bookmarkStart w:id="177" w:name="Tc_pngxP0pZZ0uwuCo9CJCzrQ_13_6"/>
      <w:bookmarkStart w:id="178" w:name="Tc_r4eWAkONakeJAiBNEGCZOg_13_3"/>
      <w:bookmarkStart w:id="179" w:name="Tc_MQTJ0ftN2kalBRXEKpXaHQ_13_0"/>
      <w:bookmarkStart w:id="180" w:name="Tc_JJat68CMrUK-xLXqGKb_hg_12_0"/>
      <w:bookmarkStart w:id="181" w:name="Tc_FQalg440AEmmMR3AiR4i9g_11_0"/>
      <w:bookmarkStart w:id="182" w:name="Tc_12Oz5QhQ90-BB8IhgVYAlw_10_0"/>
      <w:bookmarkStart w:id="183" w:name="Tc_SaXBwYyzukCix_bOplXiEQ_9_0"/>
      <w:bookmarkStart w:id="184" w:name="Tc_cV1imDyG1EWS18oCY5WLtg_8_0"/>
      <w:bookmarkStart w:id="185" w:name="Tc_WRIxyVYbakWrAeKjyg7M1A_7_0"/>
      <w:bookmarkStart w:id="186" w:name="Tc_uLCHMAkYxkat7MWcYvjmjQ_6_0"/>
      <w:bookmarkStart w:id="187" w:name="Tc_FCeS7WgoOECe0j1cT64RcQ_5_0"/>
      <w:bookmarkStart w:id="188" w:name="Tc_zb-lgL8jGk-QvDIFmIw_2Q_4_11"/>
      <w:bookmarkStart w:id="189" w:name="Tc_L67dXuz6ME2Ho7qI6npa3w_4_8"/>
      <w:bookmarkStart w:id="190" w:name="Tc_VWNxumu6p0-AubJhL-BCZw_4_5"/>
      <w:bookmarkStart w:id="191" w:name="Tc_10wd88SgR0-rWiKXVo22fA_4_2"/>
      <w:bookmarkStart w:id="192" w:name="Tc_OUJGn4de30OoI95Tp7jhpQ_4_0"/>
      <w:bookmarkStart w:id="193" w:name="Tc_DbkD8-H_D0W2Jtnrb3mpFA_3_0"/>
      <w:bookmarkStart w:id="194" w:name="Tc_QK9oEaro70yp5S5Q8qcvgw_2_11"/>
      <w:bookmarkStart w:id="195" w:name="Tc_WA1i43F4uUmSY5RhacMJCQ_2_8"/>
      <w:bookmarkStart w:id="196" w:name="Tc_OaKz1U6QTUCAyHsTJT4mOw_2_5"/>
      <w:bookmarkStart w:id="197" w:name="Tc_GWWZmQca3UytC1js2TmUKA_2_2"/>
      <w:bookmarkStart w:id="198" w:name="Tc_zquknEY_7EOsWeBbnRTvVw_1_8"/>
      <w:bookmarkStart w:id="199" w:name="Tc_S9Tizyd8b0y04lMhEIYlng_1_2"/>
      <w:bookmarkStart w:id="200" w:name="_7a23d30f_aa5a_494d_bf97_8ea9390d82ba"/>
      <w:bookmarkStart w:id="201" w:name="Tc_1dZ4OXGnzk6sCZ7nXuUrwg_26_11"/>
      <w:bookmarkStart w:id="202" w:name="Tc_63kTx4rox0aBu0NYhsp-hw_26_8"/>
      <w:bookmarkStart w:id="203" w:name="Tc_RIbubF8PckSu9O_PgZgy-A_26_5"/>
      <w:bookmarkStart w:id="204" w:name="Tc_cdcXQyam5kai2ZSR3CX9tw_26_2"/>
      <w:bookmarkStart w:id="205" w:name="Tc_qvRQAHRAu0yvUHOCPywMgA_26_0"/>
      <w:bookmarkStart w:id="206" w:name="Tc_Jx98vY8O8UWscBXehISajA_25_11"/>
      <w:bookmarkStart w:id="207" w:name="Tc_AlU9RmsBc06oF_xz2dGZXQ_25_8"/>
      <w:bookmarkStart w:id="208" w:name="Tc_QxNKCh_B4UCBimZTQYEavQ_25_5"/>
      <w:bookmarkStart w:id="209" w:name="Tc_M_M_E-jFwkWo3uTZXzjH_w_25_2"/>
      <w:bookmarkStart w:id="210" w:name="Tc_djY2vGy_bUKcEzPushHZRw_25_0"/>
      <w:bookmarkStart w:id="211" w:name="Tc_GaIIoaHOkEmU8LZx_e--Gw_24_0"/>
      <w:bookmarkStart w:id="212" w:name="Tc_GwoeOZijNUy8QVwfm_Yu2A_23_0"/>
      <w:bookmarkStart w:id="213" w:name="Tc_89Bnyocap0Wu5jqk3DMXKw_22_0"/>
      <w:bookmarkStart w:id="214" w:name="Tc_He8Ggzq-xUSZVsKZHwuq8Q_21_11"/>
      <w:bookmarkStart w:id="215" w:name="Tc_l2E3-rUm3Ea1w6TJ8EjoGg_21_8"/>
      <w:bookmarkStart w:id="216" w:name="Tc_7Z_4b9vIV0qPIGzl68Nlng_21_5"/>
      <w:bookmarkStart w:id="217" w:name="Tc_7kcqr-sel06F8TCWv7mfOw_21_2"/>
      <w:bookmarkStart w:id="218" w:name="Tc_i2vLzxtg2k6b5yLny4O2tg_21_0"/>
      <w:bookmarkStart w:id="219" w:name="Tc_f8AM7pF4Hkqx7BsSOAlP7A_20_0"/>
      <w:bookmarkStart w:id="220" w:name="Tc_Qswl6l1uSEeZeKJcra2plA_19_0"/>
      <w:bookmarkStart w:id="221" w:name="Tc_bKS1X9FWg0m0r3at7sZk6g_18_0"/>
      <w:bookmarkStart w:id="222" w:name="Tc_-6Uwrr2lMkuWlwi0XwlDBg_17_0"/>
      <w:bookmarkStart w:id="223" w:name="Tc_Y0n3-Lz6g0m1eW1gZsx-jg_16_0"/>
      <w:bookmarkStart w:id="224" w:name="Tc_BL_JDmiQ2ESvb6yFAiam_g_15_0"/>
      <w:bookmarkStart w:id="225" w:name="Tc_SnqzimRvh0q8Q-70QOC25Q_14_3"/>
      <w:bookmarkStart w:id="226" w:name="Tc_5KyEU2nWDE6VlCbUetFCQg_14_0"/>
      <w:bookmarkStart w:id="227" w:name="Tc_-mxhCLXwj0SAfcey3RLSHA_13_9"/>
      <w:bookmarkStart w:id="228" w:name="Tc_pngxP0pZZ0uwuCo9CJCzrQ_13_6"/>
      <w:bookmarkStart w:id="229" w:name="Tc_r4eWAkONakeJAiBNEGCZOg_13_3"/>
      <w:bookmarkStart w:id="230" w:name="Tc_MQTJ0ftN2kalBRXEKpXaHQ_13_0"/>
      <w:bookmarkStart w:id="231" w:name="Tc_JJat68CMrUK-xLXqGKb_hg_12_0"/>
      <w:bookmarkStart w:id="232" w:name="Tc_FQalg440AEmmMR3AiR4i9g_11_0"/>
      <w:bookmarkStart w:id="233" w:name="Tc_12Oz5QhQ90-BB8IhgVYAlw_10_0"/>
      <w:bookmarkStart w:id="234" w:name="Tc_SaXBwYyzukCix_bOplXiEQ_9_0"/>
      <w:bookmarkStart w:id="235" w:name="Tc_cV1imDyG1EWS18oCY5WLtg_8_0"/>
      <w:bookmarkStart w:id="236" w:name="Tc_WRIxyVYbakWrAeKjyg7M1A_7_0"/>
      <w:bookmarkStart w:id="237" w:name="Tc_uLCHMAkYxkat7MWcYvjmjQ_6_0"/>
      <w:bookmarkStart w:id="238" w:name="Tc_FCeS7WgoOECe0j1cT64RcQ_5_0"/>
      <w:bookmarkStart w:id="239" w:name="Tc_zb-lgL8jGk-QvDIFmIw_2Q_4_11"/>
      <w:bookmarkStart w:id="240" w:name="Tc_L67dXuz6ME2Ho7qI6npa3w_4_8"/>
      <w:bookmarkStart w:id="241" w:name="Tc_VWNxumu6p0-AubJhL-BCZw_4_5"/>
      <w:bookmarkStart w:id="242" w:name="Tc_10wd88SgR0-rWiKXVo22fA_4_2"/>
      <w:bookmarkStart w:id="243" w:name="Tc_OUJGn4de30OoI95Tp7jhpQ_4_0"/>
      <w:bookmarkStart w:id="244" w:name="Tc_DbkD8-H_D0W2Jtnrb3mpFA_3_0"/>
      <w:bookmarkStart w:id="245" w:name="Tc_QK9oEaro70yp5S5Q8qcvgw_2_11"/>
      <w:bookmarkStart w:id="246" w:name="Tc_WA1i43F4uUmSY5RhacMJCQ_2_8"/>
      <w:bookmarkStart w:id="247" w:name="Tc_OaKz1U6QTUCAyHsTJT4mOw_2_5"/>
      <w:bookmarkStart w:id="248" w:name="Tc_GWWZmQca3UytC1js2TmUKA_2_2"/>
      <w:bookmarkStart w:id="249" w:name="Tc_zquknEY_7EOsWeBbnRTvVw_1_8"/>
      <w:bookmarkStart w:id="250" w:name="Tc_S9Tizyd8b0y04lMhEIYlng_1_2"/>
      <w:bookmarkStart w:id="251" w:name="_7a23d30f_aa5a_494d_bf97_8ea9390d82ba"/>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10205" w:type="dxa"/>
        <w:jc w:val="left"/>
        <w:tblInd w:w="0" w:type="dxa"/>
        <w:tblLayout w:type="fixed"/>
        <w:tblCellMar>
          <w:top w:w="0" w:type="dxa"/>
          <w:left w:w="0" w:type="dxa"/>
          <w:bottom w:w="0" w:type="dxa"/>
          <w:right w:w="0" w:type="dxa"/>
        </w:tblCellMar>
      </w:tblPr>
      <w:tblGrid>
        <w:gridCol w:w="3679"/>
        <w:gridCol w:w="346"/>
        <w:gridCol w:w="211"/>
        <w:gridCol w:w="1036"/>
        <w:gridCol w:w="346"/>
        <w:gridCol w:w="211"/>
        <w:gridCol w:w="1036"/>
        <w:gridCol w:w="346"/>
        <w:gridCol w:w="211"/>
        <w:gridCol w:w="1036"/>
        <w:gridCol w:w="346"/>
        <w:gridCol w:w="211"/>
        <w:gridCol w:w="1036"/>
        <w:gridCol w:w="154"/>
      </w:tblGrid>
      <w:tr>
        <w:trPr/>
        <w:tc>
          <w:tcPr>
            <w:tcW w:w="3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36165" cy="175260"/>
                      <wp:effectExtent l="0" t="0" r="0" b="0"/>
                      <wp:wrapNone/>
                      <wp:docPr id="9" name="Frame9"/>
                      <a:graphic xmlns:a="http://schemas.openxmlformats.org/drawingml/2006/main">
                        <a:graphicData uri="http://schemas.microsoft.com/office/word/2010/wordprocessingShape">
                          <wps:wsp>
                            <wps:cNvSpPr txBox="1"/>
                            <wps:spPr>
                              <a:xfrm>
                                <a:off x="0" y="0"/>
                                <a:ext cx="2336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75260"/>
                      <wp:effectExtent l="0" t="0" r="0" b="0"/>
                      <wp:wrapNone/>
                      <wp:docPr id="22"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271,755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989,172</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633,070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1,354,971</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collaboration and license sales, excluding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24,282</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221,963</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asset impairment and losses on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419,703</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(64,450)</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858,776</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801,713</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(in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83,006,808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78,151,240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82,765,248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78,438,830</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(in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92,020,009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78,151,240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91,824,273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86,502,578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share—basic (in dollars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share—diluted (in dollars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2" w:name="_3c48d1f6_abe0_4284_a3e0_cf9d26548583"/>
      <w:bookmarkEnd w:id="252"/>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Comprehensive Income (Loss)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53" w:name="Tc_DrdlbD9Ik0iTavZx_tWPEw_7_11"/>
      <w:bookmarkStart w:id="254" w:name="Tc_pod3ejBpAU6kPGVlJjOp7w_7_8"/>
      <w:bookmarkStart w:id="255" w:name="Tc_B9s0xABuMU2FC2M1qjDqXw_7_5"/>
      <w:bookmarkStart w:id="256" w:name="Tc_INP3cyTBq0--ow17H-PHYg_7_2"/>
      <w:bookmarkStart w:id="257" w:name="Tc_-MRRsqd75E6tE2HtcfFcBA_7_0"/>
      <w:bookmarkStart w:id="258" w:name="Tc_jvZiPV-Y1kmjCvrc0XfqPA_6_0"/>
      <w:bookmarkStart w:id="259" w:name="Tc_CTGCYYccWUKInLOpcjBCTQ_5_0"/>
      <w:bookmarkStart w:id="260" w:name="Tc_OTVika6Az0qVKNm2kcik0A_4_0"/>
      <w:bookmarkStart w:id="261" w:name="Tc_7V193KtbVEKQSM3zTF52Tw_3_11"/>
      <w:bookmarkStart w:id="262" w:name="Tc_Pu96iL9LEEiCC9byJssMvA_3_8"/>
      <w:bookmarkStart w:id="263" w:name="Tc_rdBI74widEa0DOfxpATOog_3_5"/>
      <w:bookmarkStart w:id="264" w:name="Tc_Ku5U3SAB0kOMQZR_Xe61nA_3_2"/>
      <w:bookmarkStart w:id="265" w:name="Tc_2x3LmJ4gsUmG6n6gp5JgDA_3_0"/>
      <w:bookmarkStart w:id="266" w:name="Tc__KkDff7SDkCd99kltp2uzg_2_11"/>
      <w:bookmarkStart w:id="267" w:name="Tc_1tkAzgbA90-cZ5bO_MvKFQ_2_8"/>
      <w:bookmarkStart w:id="268" w:name="Tc_vjFSQCgQnEqdBJwi3IwSWw_2_5"/>
      <w:bookmarkStart w:id="269" w:name="Tc_CcD7NzQS8ka7-JilQdpgOg_2_2"/>
      <w:bookmarkStart w:id="270" w:name="Tc_39khGS4yT0SEbruEW_rpzA_1_8"/>
      <w:bookmarkStart w:id="271" w:name="Tc_pC9t1CVOLUGBhBdMGLOQOA_1_2"/>
      <w:bookmarkStart w:id="272" w:name="_cd3e2210_01c1_4b86_9f8c_4c3fb6d270ec"/>
      <w:bookmarkStart w:id="273" w:name="Tc_DrdlbD9Ik0iTavZx_tWPEw_7_11"/>
      <w:bookmarkStart w:id="274" w:name="Tc_pod3ejBpAU6kPGVlJjOp7w_7_8"/>
      <w:bookmarkStart w:id="275" w:name="Tc_B9s0xABuMU2FC2M1qjDqXw_7_5"/>
      <w:bookmarkStart w:id="276" w:name="Tc_INP3cyTBq0--ow17H-PHYg_7_2"/>
      <w:bookmarkStart w:id="277" w:name="Tc_-MRRsqd75E6tE2HtcfFcBA_7_0"/>
      <w:bookmarkStart w:id="278" w:name="Tc_jvZiPV-Y1kmjCvrc0XfqPA_6_0"/>
      <w:bookmarkStart w:id="279" w:name="Tc_CTGCYYccWUKInLOpcjBCTQ_5_0"/>
      <w:bookmarkStart w:id="280" w:name="Tc_OTVika6Az0qVKNm2kcik0A_4_0"/>
      <w:bookmarkStart w:id="281" w:name="Tc_7V193KtbVEKQSM3zTF52Tw_3_11"/>
      <w:bookmarkStart w:id="282" w:name="Tc_Pu96iL9LEEiCC9byJssMvA_3_8"/>
      <w:bookmarkStart w:id="283" w:name="Tc_rdBI74widEa0DOfxpATOog_3_5"/>
      <w:bookmarkStart w:id="284" w:name="Tc_Ku5U3SAB0kOMQZR_Xe61nA_3_2"/>
      <w:bookmarkStart w:id="285" w:name="Tc_2x3LmJ4gsUmG6n6gp5JgDA_3_0"/>
      <w:bookmarkStart w:id="286" w:name="Tc__KkDff7SDkCd99kltp2uzg_2_11"/>
      <w:bookmarkStart w:id="287" w:name="Tc_1tkAzgbA90-cZ5bO_MvKFQ_2_8"/>
      <w:bookmarkStart w:id="288" w:name="Tc_vjFSQCgQnEqdBJwi3IwSWw_2_5"/>
      <w:bookmarkStart w:id="289" w:name="Tc_CcD7NzQS8ka7-JilQdpgOg_2_2"/>
      <w:bookmarkStart w:id="290" w:name="Tc_39khGS4yT0SEbruEW_rpzA_1_8"/>
      <w:bookmarkStart w:id="291" w:name="Tc_pC9t1CVOLUGBhBdMGLOQOA_1_2"/>
      <w:bookmarkStart w:id="292" w:name="_cd3e2210_01c1_4b86_9f8c_4c3fb6d270ec"/>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bl>
      <w:tblPr>
        <w:tblW w:w="9857" w:type="dxa"/>
        <w:jc w:val="left"/>
        <w:tblInd w:w="0" w:type="dxa"/>
        <w:tblLayout w:type="fixed"/>
        <w:tblCellMar>
          <w:top w:w="0" w:type="dxa"/>
          <w:left w:w="0" w:type="dxa"/>
          <w:bottom w:w="0" w:type="dxa"/>
          <w:right w:w="0" w:type="dxa"/>
        </w:tblCellMar>
      </w:tblPr>
      <w:tblGrid>
        <w:gridCol w:w="4276"/>
        <w:gridCol w:w="406"/>
        <w:gridCol w:w="211"/>
        <w:gridCol w:w="691"/>
        <w:gridCol w:w="406"/>
        <w:gridCol w:w="211"/>
        <w:gridCol w:w="796"/>
        <w:gridCol w:w="406"/>
        <w:gridCol w:w="211"/>
        <w:gridCol w:w="691"/>
        <w:gridCol w:w="406"/>
        <w:gridCol w:w="211"/>
        <w:gridCol w:w="781"/>
        <w:gridCol w:w="154"/>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715260" cy="175260"/>
                      <wp:effectExtent l="0" t="0" r="0" b="0"/>
                      <wp:wrapNone/>
                      <wp:docPr id="23" name="Frame23"/>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7810" cy="175260"/>
                      <wp:effectExtent l="0" t="0" r="0" b="0"/>
                      <wp:wrapNone/>
                      <wp:docPr id="24" name="Frame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57810" cy="175260"/>
                      <wp:effectExtent l="0" t="0" r="0" b="0"/>
                      <wp:wrapNone/>
                      <wp:docPr id="27" name="Frame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5460" cy="175260"/>
                      <wp:effectExtent l="0" t="0" r="0" b="0"/>
                      <wp:wrapNone/>
                      <wp:docPr id="29" name="Frame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7810" cy="175260"/>
                      <wp:effectExtent l="0" t="0" r="0" b="0"/>
                      <wp:wrapNone/>
                      <wp:docPr id="30" name="Frame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57810" cy="175260"/>
                      <wp:effectExtent l="0" t="0" r="0" b="0"/>
                      <wp:wrapNone/>
                      <wp:docPr id="33" name="Frame3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175260"/>
                      <wp:effectExtent l="0" t="0" r="0" b="0"/>
                      <wp:wrapNone/>
                      <wp:docPr id="36" name="Frame3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406" w:type="dxa"/>
            <w:tcBorders/>
            <w:vAlign w:val="center"/>
          </w:tcPr>
          <w:p>
            <w:pPr>
              <w:pStyle w:val="TableContents"/>
              <w:bidi w:val="0"/>
              <w:spacing w:before="0" w:after="0"/>
              <w:ind w:left="0" w:right="0" w:hanging="0"/>
              <w:jc w:val="left"/>
              <w:rPr/>
            </w:pPr>
            <w:r>
              <w:rPr/>
              <w:t>​</w:t>
            </w:r>
          </w:p>
        </w:tc>
        <w:tc>
          <w:tcPr>
            <w:tcW w:w="23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  ​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  ​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  ​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(64,849)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80,687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801,713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loss on marketable securities, net of tax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(loss) gain, net of tax </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33,516</w:t>
            </w:r>
          </w:p>
        </w:tc>
        <w:tc>
          <w:tcPr>
            <w:tcW w:w="154"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81,047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76,203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834,955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293" w:name="_bc139dc0_2196_4edf_a3ff_7753265e8d7c"/>
      <w:bookmarkEnd w:id="293"/>
      <w:r>
        <w:rPr>
          <w:rFonts w:ascii="Times New Roman;Times;serif" w:hAnsi="Times New Roman;Times;serif"/>
          <w:b/>
          <w:sz w:val="16"/>
        </w:rPr>
        <w:t>PTC Therapeutics, Inc.</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Statements of Stockholders’ Deficit (unaudited)</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4" w:name="Tc_Loyuywf_Dki42wF7B2Vzuw_14_16"/>
      <w:bookmarkStart w:id="295" w:name="Tc_2PddceLLukeTcNbByLuPuQ_14_13"/>
      <w:bookmarkStart w:id="296" w:name="Tc_G0qmJsWjT0OloHUE4GzVEw_14_10"/>
      <w:bookmarkStart w:id="297" w:name="Tc_09_8ZVyUU0SIFTktkoxs6Q_14_7"/>
      <w:bookmarkStart w:id="298" w:name="Tc_9KyHfHvxbkmRFmJjoqPeXw_14_4"/>
      <w:bookmarkStart w:id="299" w:name="Tc_Kpo_jl8jhUSGUZVHnub1YQ_14_0"/>
      <w:bookmarkStart w:id="300" w:name="Tc_N2A75RkvsUaq9M1fMb3HbQ_13_14"/>
      <w:bookmarkStart w:id="301" w:name="Tc_r_PHfP4IJUSHZqCR_lUxFg_13_8"/>
      <w:bookmarkStart w:id="302" w:name="Tc_TSah54PYD0CvwlzvghbS5g_13_5"/>
      <w:bookmarkStart w:id="303" w:name="Tc_DPRTYIjVeU-SZHmdFCrM_Q_13_2"/>
      <w:bookmarkStart w:id="304" w:name="Tc_04_yXpAogUytk8pXQiI3Hw_13_0"/>
      <w:bookmarkStart w:id="305" w:name="Tc_58z0LoWvwkKth67RuX85OA_12_11"/>
      <w:bookmarkStart w:id="306" w:name="Tc_nayQrC5FVUqLEwCBB8uCig_12_8"/>
      <w:bookmarkStart w:id="307" w:name="Tc_TBqrRpfAkUGi_ke0Ay8K5A_12_5"/>
      <w:bookmarkStart w:id="308" w:name="Tc_EUe6rLrG5kiWLQ7V9H2NLQ_12_2"/>
      <w:bookmarkStart w:id="309" w:name="Tc_3A9SuJLmPkilZiswFuleEg_12_0"/>
      <w:bookmarkStart w:id="310" w:name="Tc_1k2YLXJnlEOgXb3dd51sgw_11_14"/>
      <w:bookmarkStart w:id="311" w:name="Tc_B_ofLXcGFEKyC2IBqJHp-A_11_11"/>
      <w:bookmarkStart w:id="312" w:name="Tc_KdyNtx3vAEm1vG3xMJd4EA_11_5"/>
      <w:bookmarkStart w:id="313" w:name="Tc_mTTvIti1mkaItvsCtqOYFg_11_2"/>
      <w:bookmarkStart w:id="314" w:name="Tc_HZviiBUdNkCn8tEXw9qdlg_11_0"/>
      <w:bookmarkStart w:id="315" w:name="Tc_9aWs7rE3DUiwT_zYInToCw_10_14"/>
      <w:bookmarkStart w:id="316" w:name="Tc_J-zz46FyL0Gbh8AY8lpW7w_10_11"/>
      <w:bookmarkStart w:id="317" w:name="Tc_aQa1gbpYjECjWZErWwv0DA_10_5"/>
      <w:bookmarkStart w:id="318" w:name="Tc_c-1hx945wEW6A4M_QHBKnA_10_0"/>
      <w:bookmarkStart w:id="319" w:name="Tc_R2lvwgckSEuDMuopQVeQRA_9_14"/>
      <w:bookmarkStart w:id="320" w:name="Tc_OkivANDKrEakSc0zKNP1_Q_9_11"/>
      <w:bookmarkStart w:id="321" w:name="Tc_2qub3LwMGE2hdUM5qty9og_9_5"/>
      <w:bookmarkStart w:id="322" w:name="Tc_wFChEMA7d06AYRCEKZLIXA_9_0"/>
      <w:bookmarkStart w:id="323" w:name="Tc_-gGMyXAJJEO1y3E5whj3iA_8_14"/>
      <w:bookmarkStart w:id="324" w:name="Tc_lpa7aKVkPkS9pSmjDiaeGQ_8_11"/>
      <w:bookmarkStart w:id="325" w:name="Tc_eetu4U019EqMsfHT-_5tEw_8_5"/>
      <w:bookmarkStart w:id="326" w:name="Tc_5QVkvKK63UaWGj4aRQDHDw_8_2"/>
      <w:bookmarkStart w:id="327" w:name="Tc_sT_ZHtgpTkSt8t71EAfDsQ_8_0"/>
      <w:bookmarkStart w:id="328" w:name="Tc_KMScqo9SQ0erzj9C2VEQpg_7_17"/>
      <w:bookmarkStart w:id="329" w:name="Tc_TDwFeZAwX0yokimaTrjopg_7_14"/>
      <w:bookmarkStart w:id="330" w:name="Tc_aq5Hwoj9skimnt3LZ67rug_7_11"/>
      <w:bookmarkStart w:id="331" w:name="Tc_5jkDRQacNEifSdl5SChh2w_7_8"/>
      <w:bookmarkStart w:id="332" w:name="Tc_t6vcbV8nB0GVLGIG67wIBA_7_5"/>
      <w:bookmarkStart w:id="333" w:name="Tc_CaQ5UKpd7k69_fwJl6ViuA_7_0"/>
      <w:bookmarkStart w:id="334" w:name="Tc_j_fl3YZ02EeLWccMp7EUXw_6_14"/>
      <w:bookmarkStart w:id="335" w:name="Tc_poZwj-5nqk6EaWbuY5qg-Q_6_11"/>
      <w:bookmarkStart w:id="336" w:name="Tc_pZitgq9gG0G062ogOe2Kvg_6_0"/>
      <w:bookmarkStart w:id="337" w:name="Tc_X9Mkj3zfDEKECF6-aCrrqA_5_16"/>
      <w:bookmarkStart w:id="338" w:name="Tc_pSGjcc2enUKZ94I4HPUzPg_5_13"/>
      <w:bookmarkStart w:id="339" w:name="Tc_xDoGLvdHXE--q1-INJQWNg_5_10"/>
      <w:bookmarkStart w:id="340" w:name="Tc_uzs8a0K31UmC3WqxC022EQ_5_7"/>
      <w:bookmarkStart w:id="341" w:name="Tc_pZff7AE5CEasrUcu1_kjtA_5_4"/>
      <w:bookmarkStart w:id="342" w:name="Tc_A59RSEn_xEG8y34-vZsXWg_5_0"/>
      <w:bookmarkStart w:id="343" w:name="Tc_g6hU57e9xE6COOU30IgwDA_4_16"/>
      <w:bookmarkStart w:id="344" w:name="Tc_wxLHkspi60eT1REVli4nAw_4_13"/>
      <w:bookmarkStart w:id="345" w:name="Tc_vX8Ym9RvWE2XzjOYwNRDgg_4_10"/>
      <w:bookmarkStart w:id="346" w:name="Tc_GgcEgIEy0kqM172nXx0gig_4_7"/>
      <w:bookmarkStart w:id="347" w:name="Tc_B3f8EOMy40C2hNoZY-cb6g_4_4"/>
      <w:bookmarkStart w:id="348" w:name="Tc_K-DwB8LDTkyvr1yhOXUZ1g_4_2"/>
      <w:bookmarkStart w:id="349" w:name="Tc_qlmKwqOwu06NWs4gFF_AWQ_3_16"/>
      <w:bookmarkStart w:id="350" w:name="Tc_vHUtIxyUqEudOtXervFy5w_3_13"/>
      <w:bookmarkStart w:id="351" w:name="Tc_xk72cXcdYUqVpEBi0n5k9Q_3_10"/>
      <w:bookmarkStart w:id="352" w:name="Tc_RpvdmjRqkkq77GIudytowA_3_7"/>
      <w:bookmarkStart w:id="353" w:name="Tc_ifoxfHJANkyWDpGodYh0Bw_3_2"/>
      <w:bookmarkStart w:id="354" w:name="Tc_hFV8jFe25kef-cOc7dWbkw_3_0"/>
      <w:bookmarkStart w:id="355" w:name="Tc_ZLvvGEGx5kaRgEk_Sd7Yqw_2_16"/>
      <w:bookmarkStart w:id="356" w:name="Tc__n0zUHBgVUmOWGieL7BWgg_2_10"/>
      <w:bookmarkStart w:id="357" w:name="Tc_l6BWhGA_nkeCIhu-5MeRDQ_2_7"/>
      <w:bookmarkStart w:id="358" w:name="Tc_cC_ihe78FUGog2SzZ5K_VQ_1_10"/>
      <w:bookmarkStart w:id="359" w:name="_864992f9_0dda_4ed4_9814_aa21c16510fc"/>
      <w:bookmarkStart w:id="360" w:name="Tc_Loyuywf_Dki42wF7B2Vzuw_14_16"/>
      <w:bookmarkStart w:id="361" w:name="Tc_2PddceLLukeTcNbByLuPuQ_14_13"/>
      <w:bookmarkStart w:id="362" w:name="Tc_G0qmJsWjT0OloHUE4GzVEw_14_10"/>
      <w:bookmarkStart w:id="363" w:name="Tc_09_8ZVyUU0SIFTktkoxs6Q_14_7"/>
      <w:bookmarkStart w:id="364" w:name="Tc_9KyHfHvxbkmRFmJjoqPeXw_14_4"/>
      <w:bookmarkStart w:id="365" w:name="Tc_Kpo_jl8jhUSGUZVHnub1YQ_14_0"/>
      <w:bookmarkStart w:id="366" w:name="Tc_N2A75RkvsUaq9M1fMb3HbQ_13_14"/>
      <w:bookmarkStart w:id="367" w:name="Tc_r_PHfP4IJUSHZqCR_lUxFg_13_8"/>
      <w:bookmarkStart w:id="368" w:name="Tc_TSah54PYD0CvwlzvghbS5g_13_5"/>
      <w:bookmarkStart w:id="369" w:name="Tc_DPRTYIjVeU-SZHmdFCrM_Q_13_2"/>
      <w:bookmarkStart w:id="370" w:name="Tc_04_yXpAogUytk8pXQiI3Hw_13_0"/>
      <w:bookmarkStart w:id="371" w:name="Tc_58z0LoWvwkKth67RuX85OA_12_11"/>
      <w:bookmarkStart w:id="372" w:name="Tc_nayQrC5FVUqLEwCBB8uCig_12_8"/>
      <w:bookmarkStart w:id="373" w:name="Tc_TBqrRpfAkUGi_ke0Ay8K5A_12_5"/>
      <w:bookmarkStart w:id="374" w:name="Tc_EUe6rLrG5kiWLQ7V9H2NLQ_12_2"/>
      <w:bookmarkStart w:id="375" w:name="Tc_3A9SuJLmPkilZiswFuleEg_12_0"/>
      <w:bookmarkStart w:id="376" w:name="Tc_1k2YLXJnlEOgXb3dd51sgw_11_14"/>
      <w:bookmarkStart w:id="377" w:name="Tc_B_ofLXcGFEKyC2IBqJHp-A_11_11"/>
      <w:bookmarkStart w:id="378" w:name="Tc_KdyNtx3vAEm1vG3xMJd4EA_11_5"/>
      <w:bookmarkStart w:id="379" w:name="Tc_mTTvIti1mkaItvsCtqOYFg_11_2"/>
      <w:bookmarkStart w:id="380" w:name="Tc_HZviiBUdNkCn8tEXw9qdlg_11_0"/>
      <w:bookmarkStart w:id="381" w:name="Tc_9aWs7rE3DUiwT_zYInToCw_10_14"/>
      <w:bookmarkStart w:id="382" w:name="Tc_J-zz46FyL0Gbh8AY8lpW7w_10_11"/>
      <w:bookmarkStart w:id="383" w:name="Tc_aQa1gbpYjECjWZErWwv0DA_10_5"/>
      <w:bookmarkStart w:id="384" w:name="Tc_c-1hx945wEW6A4M_QHBKnA_10_0"/>
      <w:bookmarkStart w:id="385" w:name="Tc_R2lvwgckSEuDMuopQVeQRA_9_14"/>
      <w:bookmarkStart w:id="386" w:name="Tc_OkivANDKrEakSc0zKNP1_Q_9_11"/>
      <w:bookmarkStart w:id="387" w:name="Tc_2qub3LwMGE2hdUM5qty9og_9_5"/>
      <w:bookmarkStart w:id="388" w:name="Tc_wFChEMA7d06AYRCEKZLIXA_9_0"/>
      <w:bookmarkStart w:id="389" w:name="Tc_-gGMyXAJJEO1y3E5whj3iA_8_14"/>
      <w:bookmarkStart w:id="390" w:name="Tc_lpa7aKVkPkS9pSmjDiaeGQ_8_11"/>
      <w:bookmarkStart w:id="391" w:name="Tc_eetu4U019EqMsfHT-_5tEw_8_5"/>
      <w:bookmarkStart w:id="392" w:name="Tc_5QVkvKK63UaWGj4aRQDHDw_8_2"/>
      <w:bookmarkStart w:id="393" w:name="Tc_sT_ZHtgpTkSt8t71EAfDsQ_8_0"/>
      <w:bookmarkStart w:id="394" w:name="Tc_KMScqo9SQ0erzj9C2VEQpg_7_17"/>
      <w:bookmarkStart w:id="395" w:name="Tc_TDwFeZAwX0yokimaTrjopg_7_14"/>
      <w:bookmarkStart w:id="396" w:name="Tc_aq5Hwoj9skimnt3LZ67rug_7_11"/>
      <w:bookmarkStart w:id="397" w:name="Tc_5jkDRQacNEifSdl5SChh2w_7_8"/>
      <w:bookmarkStart w:id="398" w:name="Tc_t6vcbV8nB0GVLGIG67wIBA_7_5"/>
      <w:bookmarkStart w:id="399" w:name="Tc_CaQ5UKpd7k69_fwJl6ViuA_7_0"/>
      <w:bookmarkStart w:id="400" w:name="Tc_j_fl3YZ02EeLWccMp7EUXw_6_14"/>
      <w:bookmarkStart w:id="401" w:name="Tc_poZwj-5nqk6EaWbuY5qg-Q_6_11"/>
      <w:bookmarkStart w:id="402" w:name="Tc_pZitgq9gG0G062ogOe2Kvg_6_0"/>
      <w:bookmarkStart w:id="403" w:name="Tc_X9Mkj3zfDEKECF6-aCrrqA_5_16"/>
      <w:bookmarkStart w:id="404" w:name="Tc_pSGjcc2enUKZ94I4HPUzPg_5_13"/>
      <w:bookmarkStart w:id="405" w:name="Tc_xDoGLvdHXE--q1-INJQWNg_5_10"/>
      <w:bookmarkStart w:id="406" w:name="Tc_uzs8a0K31UmC3WqxC022EQ_5_7"/>
      <w:bookmarkStart w:id="407" w:name="Tc_pZff7AE5CEasrUcu1_kjtA_5_4"/>
      <w:bookmarkStart w:id="408" w:name="Tc_A59RSEn_xEG8y34-vZsXWg_5_0"/>
      <w:bookmarkStart w:id="409" w:name="Tc_g6hU57e9xE6COOU30IgwDA_4_16"/>
      <w:bookmarkStart w:id="410" w:name="Tc_wxLHkspi60eT1REVli4nAw_4_13"/>
      <w:bookmarkStart w:id="411" w:name="Tc_vX8Ym9RvWE2XzjOYwNRDgg_4_10"/>
      <w:bookmarkStart w:id="412" w:name="Tc_GgcEgIEy0kqM172nXx0gig_4_7"/>
      <w:bookmarkStart w:id="413" w:name="Tc_B3f8EOMy40C2hNoZY-cb6g_4_4"/>
      <w:bookmarkStart w:id="414" w:name="Tc_K-DwB8LDTkyvr1yhOXUZ1g_4_2"/>
      <w:bookmarkStart w:id="415" w:name="Tc_qlmKwqOwu06NWs4gFF_AWQ_3_16"/>
      <w:bookmarkStart w:id="416" w:name="Tc_vHUtIxyUqEudOtXervFy5w_3_13"/>
      <w:bookmarkStart w:id="417" w:name="Tc_xk72cXcdYUqVpEBi0n5k9Q_3_10"/>
      <w:bookmarkStart w:id="418" w:name="Tc_RpvdmjRqkkq77GIudytowA_3_7"/>
      <w:bookmarkStart w:id="419" w:name="Tc_ifoxfHJANkyWDpGodYh0Bw_3_2"/>
      <w:bookmarkStart w:id="420" w:name="Tc_hFV8jFe25kef-cOc7dWbkw_3_0"/>
      <w:bookmarkStart w:id="421" w:name="Tc_ZLvvGEGx5kaRgEk_Sd7Yqw_2_16"/>
      <w:bookmarkStart w:id="422" w:name="Tc__n0zUHBgVUmOWGieL7BWgg_2_10"/>
      <w:bookmarkStart w:id="423" w:name="Tc_l6BWhGA_nkeCIhu-5MeRDQ_2_7"/>
      <w:bookmarkStart w:id="424" w:name="Tc_cC_ihe78FUGog2SzZ5K_VQ_1_10"/>
      <w:bookmarkStart w:id="425" w:name="_864992f9_0dda_4ed4_9814_aa21c16510fc"/>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tbl>
      <w:tblPr>
        <w:tblW w:w="10205" w:type="dxa"/>
        <w:jc w:val="left"/>
        <w:tblInd w:w="0" w:type="dxa"/>
        <w:tblLayout w:type="fixed"/>
        <w:tblCellMar>
          <w:top w:w="0" w:type="dxa"/>
          <w:left w:w="0" w:type="dxa"/>
          <w:bottom w:w="0" w:type="dxa"/>
          <w:right w:w="0" w:type="dxa"/>
        </w:tblCellMar>
      </w:tblPr>
      <w:tblGrid>
        <w:gridCol w:w="2800"/>
        <w:gridCol w:w="346"/>
        <w:gridCol w:w="796"/>
        <w:gridCol w:w="346"/>
        <w:gridCol w:w="216"/>
        <w:gridCol w:w="415"/>
        <w:gridCol w:w="346"/>
        <w:gridCol w:w="181"/>
        <w:gridCol w:w="721"/>
        <w:gridCol w:w="346"/>
        <w:gridCol w:w="279"/>
        <w:gridCol w:w="772"/>
        <w:gridCol w:w="346"/>
        <w:gridCol w:w="181"/>
        <w:gridCol w:w="786"/>
        <w:gridCol w:w="346"/>
        <w:gridCol w:w="203"/>
        <w:gridCol w:w="779"/>
      </w:tblGrid>
      <w:tr>
        <w:trPr/>
        <w:tc>
          <w:tcPr>
            <w:tcW w:w="2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78000" cy="175260"/>
                      <wp:effectExtent l="0" t="0" r="0" b="0"/>
                      <wp:wrapNone/>
                      <wp:docPr id="37" name="Frame37"/>
                      <a:graphic xmlns:a="http://schemas.openxmlformats.org/drawingml/2006/main">
                        <a:graphicData uri="http://schemas.microsoft.com/office/word/2010/wordprocessingShape">
                          <wps:wsp>
                            <wps:cNvSpPr txBox="1"/>
                            <wps:spPr>
                              <a:xfrm>
                                <a:off x="0" y="0"/>
                                <a:ext cx="177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160" cy="175260"/>
                      <wp:effectExtent l="0" t="0" r="0" b="0"/>
                      <wp:wrapNone/>
                      <wp:docPr id="41"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63525" cy="175260"/>
                      <wp:effectExtent l="0" t="0" r="0" b="0"/>
                      <wp:wrapNone/>
                      <wp:docPr id="42" name="Frame4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45" name="Frame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7165" cy="175260"/>
                      <wp:effectExtent l="0" t="0" r="0" b="0"/>
                      <wp:wrapNone/>
                      <wp:docPr id="47" name="Frame4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0220" cy="175260"/>
                      <wp:effectExtent l="0" t="0" r="0" b="0"/>
                      <wp:wrapNone/>
                      <wp:docPr id="48" name="Frame48"/>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50" name="Frame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9110" cy="175260"/>
                      <wp:effectExtent l="0" t="0" r="0" b="0"/>
                      <wp:wrapNone/>
                      <wp:docPr id="51" name="Frame5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8905" cy="175260"/>
                      <wp:effectExtent l="0" t="0" r="0" b="0"/>
                      <wp:wrapNone/>
                      <wp:docPr id="53" name="Frame5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4665" cy="175260"/>
                      <wp:effectExtent l="0" t="0" r="0" b="0"/>
                      <wp:wrapNone/>
                      <wp:docPr id="54" name="Frame5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r>
      <w:tr>
        <w:trPr/>
        <w:tc>
          <w:tcPr>
            <w:tcW w:w="2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Three months ended June 30, 2026</w:t>
            </w:r>
          </w:p>
        </w:tc>
        <w:tc>
          <w:tcPr>
            <w:tcW w:w="346" w:type="dxa"/>
            <w:tcBorders/>
            <w:vAlign w:val="center"/>
          </w:tcPr>
          <w:p>
            <w:pPr>
              <w:pStyle w:val="TableContents"/>
              <w:bidi w:val="0"/>
              <w:spacing w:before="0" w:after="1"/>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1"/>
              <w:ind w:left="0" w:right="0" w:hanging="0"/>
              <w:jc w:val="left"/>
              <w:rPr/>
            </w:pPr>
            <w:r>
              <w:rPr/>
              <w:t>​</w:t>
            </w:r>
          </w:p>
        </w:tc>
        <w:tc>
          <w:tcPr>
            <w:tcW w:w="96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98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8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46" w:type="dxa"/>
            <w:tcBorders/>
            <w:vAlign w:val="center"/>
          </w:tcPr>
          <w:p>
            <w:pPr>
              <w:pStyle w:val="TableContents"/>
              <w:bidi w:val="0"/>
              <w:spacing w:before="0" w:after="1"/>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8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82,882,024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2,778,026</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8,466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(2,967,038)</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(180,465)</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344,594</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13,233</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13,234</w:t>
            </w:r>
          </w:p>
        </w:tc>
      </w:tr>
      <w:tr>
        <w:trPr/>
        <w:tc>
          <w:tcPr>
            <w:tcW w:w="28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48,675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Repurchase of 2026 Convertible Notes</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(102,734)</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(102,734)</w:t>
            </w:r>
          </w:p>
        </w:tc>
      </w:tr>
      <w:tr>
        <w:trPr/>
        <w:tc>
          <w:tcPr>
            <w:tcW w:w="28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Conversion of 2026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(2,899)</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(2,899)</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48,487</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3,163</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3,163</w:t>
            </w:r>
          </w:p>
        </w:tc>
      </w:tr>
      <w:tr>
        <w:trPr/>
        <w:tc>
          <w:tcPr>
            <w:tcW w:w="28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23,291</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23,291</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83,496</w:t>
            </w:r>
          </w:p>
        </w:tc>
        <w:tc>
          <w:tcPr>
            <w:tcW w:w="34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83,496</w:t>
            </w:r>
          </w:p>
        </w:tc>
      </w:tr>
      <w:tr>
        <w:trPr/>
        <w:tc>
          <w:tcPr>
            <w:tcW w:w="28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(2,449)</w:t>
            </w:r>
          </w:p>
        </w:tc>
      </w:tr>
      <w:tr>
        <w:trPr/>
        <w:tc>
          <w:tcPr>
            <w:tcW w:w="28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June 30, 2026</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83,327,286</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2,712,080</w:t>
            </w:r>
          </w:p>
        </w:tc>
        <w:tc>
          <w:tcPr>
            <w:tcW w:w="34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6,017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(2,883,542)</w:t>
            </w:r>
          </w:p>
        </w:tc>
        <w:tc>
          <w:tcPr>
            <w:tcW w:w="34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(165,363)</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26" w:name="Tc_U5mGVOMIOU6tkA910hXxKQ_13_16"/>
      <w:bookmarkStart w:id="427" w:name="Tc_RYuLya7EIkuod1sk9KaCzg_13_13"/>
      <w:bookmarkStart w:id="428" w:name="Tc_Pxaj6M3HmUezx0Xh_n_LEA_13_10"/>
      <w:bookmarkStart w:id="429" w:name="Tc_1GsHUnRyF0iyjKvcd6nkLA_13_7"/>
      <w:bookmarkStart w:id="430" w:name="Tc_aH2j2zxpCEmq6dAedV0ZTA_13_4"/>
      <w:bookmarkStart w:id="431" w:name="Tc_tn7e0bDhZEmk2bf2oeELwQ_13_0"/>
      <w:bookmarkStart w:id="432" w:name="Tc_Enefm6LQ7EWaanRLKFt4nA_12_14"/>
      <w:bookmarkStart w:id="433" w:name="Tc_4M4HMbng_U2LzqdGfO_tFQ_12_8"/>
      <w:bookmarkStart w:id="434" w:name="Tc_xqAoh-m58EODqmu0gsVBbQ_12_5"/>
      <w:bookmarkStart w:id="435" w:name="Tc_eL198uPpfEWJxZWPKHwGXg_12_2"/>
      <w:bookmarkStart w:id="436" w:name="Tc_2V-fZucQ6EWSAaZw_5h-Pg_12_0"/>
      <w:bookmarkStart w:id="437" w:name="Tc_PMNk1-bNOE-WNnxFT3JXPQ_11_11"/>
      <w:bookmarkStart w:id="438" w:name="Tc_DvCkQeJI8kqp6DX1Xehgyw_11_8"/>
      <w:bookmarkStart w:id="439" w:name="Tc_CcQDXdufYEOVtyGmCZSIjA_11_5"/>
      <w:bookmarkStart w:id="440" w:name="Tc_ebwuu0ceVECQ2vOYe12sMA_11_2"/>
      <w:bookmarkStart w:id="441" w:name="Tc_ix2NjsbtREyCexYiib6DmQ_11_0"/>
      <w:bookmarkStart w:id="442" w:name="Tc_SDhvA7M1a0-DfHZ3gO0_NQ_10_14"/>
      <w:bookmarkStart w:id="443" w:name="Tc__v41rYWd-UWJoc_Sfm9kTg_10_11"/>
      <w:bookmarkStart w:id="444" w:name="Tc_JsDmbNYhBkCG0Mau4NbJEA_10_5"/>
      <w:bookmarkStart w:id="445" w:name="Tc_ujBC6iaDHku6UvbXlZUASA_10_2"/>
      <w:bookmarkStart w:id="446" w:name="Tc_OXUQk2rXtk-kuXtz9_m7nw_10_0"/>
      <w:bookmarkStart w:id="447" w:name="Tc_44OorLoFJkC7ousV4fGWFQ_9_14"/>
      <w:bookmarkStart w:id="448" w:name="Tc_x9KmVECZi0-zawtJ3UX4hQ_9_11"/>
      <w:bookmarkStart w:id="449" w:name="Tc_bxATm-SZ-kSXXUenwXP8QA_9_5"/>
      <w:bookmarkStart w:id="450" w:name="Tc_EVc42vuwO0CVmHef6duafQ_9_2"/>
      <w:bookmarkStart w:id="451" w:name="Tc_60jfvKNOcUmhPB2f5NcShw_9_0"/>
      <w:bookmarkStart w:id="452" w:name="Tc_n1LRinnPfUKjUD86yYz-6g_8_14"/>
      <w:bookmarkStart w:id="453" w:name="Tc_fYb0iMh-t0iqHMoH_DuH3w_8_11"/>
      <w:bookmarkStart w:id="454" w:name="Tc_TSSXuzSqPkuYOmRPqXa3tw_8_5"/>
      <w:bookmarkStart w:id="455" w:name="Tc_KMhEts9Si0mOR3ABl-Trvg_8_0"/>
      <w:bookmarkStart w:id="456" w:name="Tc__Evsg_FPtEmoqbSdEp_-4w_7_17"/>
      <w:bookmarkStart w:id="457" w:name="Tc_oWPTONySDkCwMT1vC2C0TQ_7_14"/>
      <w:bookmarkStart w:id="458" w:name="Tc_uTs18irZAkGxbRZyjoEQ2g_7_11"/>
      <w:bookmarkStart w:id="459" w:name="Tc_1MfOUmt65UqO7LIUBX-MIw_7_8"/>
      <w:bookmarkStart w:id="460" w:name="Tc_3pGUN0lorE6cfEGKiGXGjQ_7_5"/>
      <w:bookmarkStart w:id="461" w:name="Tc_6NCKkKOPlkG7d6h3W6lgTA_7_0"/>
      <w:bookmarkStart w:id="462" w:name="Tc_wuPKMBeE1k6R2Qh-eKRXlw_6_14"/>
      <w:bookmarkStart w:id="463" w:name="Tc_KqN7H3-QVES_TIL7pj307A_6_11"/>
      <w:bookmarkStart w:id="464" w:name="Tc_86rQ99HdGUiMsXGQkH4BXg_6_5"/>
      <w:bookmarkStart w:id="465" w:name="Tc_0zsBnbEye0ycjueYTHk-7g_6_0"/>
      <w:bookmarkStart w:id="466" w:name="Tc_SdafSnxphUGtUOOlnKWEWg_5_16"/>
      <w:bookmarkStart w:id="467" w:name="Tc_bU7flwq3h0G-shAMDyIpVw_5_13"/>
      <w:bookmarkStart w:id="468" w:name="Tc_jFoS2t3RP0iTt3uEDWpIUQ_5_10"/>
      <w:bookmarkStart w:id="469" w:name="Tc_CGMaSy69EUa5I65VC3Y4aQ_5_7"/>
      <w:bookmarkStart w:id="470" w:name="Tc_2VLrB40gRE-i0VMyrc_YaA_5_4"/>
      <w:bookmarkStart w:id="471" w:name="Tc_IzBActJ_QE-93DLJAI8wzg_5_0"/>
      <w:bookmarkStart w:id="472" w:name="Tc_QAOejHPvvE-Pgj7AbmNtOg_4_16"/>
      <w:bookmarkStart w:id="473" w:name="Tc_Aeahz-4f20uY8ZQh_yEoXg_4_13"/>
      <w:bookmarkStart w:id="474" w:name="Tc_7yNTXzHSsEqGTV27qTpWJw_4_10"/>
      <w:bookmarkStart w:id="475" w:name="Tc_zYvr7aL7zEShOuLA_Xesrw_4_7"/>
      <w:bookmarkStart w:id="476" w:name="Tc_bV-YC5HUBE2VMHpqdOYwuQ_4_4"/>
      <w:bookmarkStart w:id="477" w:name="Tc_g1vkUn7NEUueSM7IZu_L8A_4_2"/>
      <w:bookmarkStart w:id="478" w:name="Tc_JZSKgbiOdkSa4xFMXMo_iw_3_16"/>
      <w:bookmarkStart w:id="479" w:name="Tc_uJghNkgC8kOHFD83YRd3wg_3_13"/>
      <w:bookmarkStart w:id="480" w:name="Tc_xKMvItin9kG_gOA5qjk0hA_3_10"/>
      <w:bookmarkStart w:id="481" w:name="Tc_Un_8lFUzj0q4i82iz0e4mg_3_7"/>
      <w:bookmarkStart w:id="482" w:name="Tc_WCuEDdTDQU-BZYww5_3oEQ_3_2"/>
      <w:bookmarkStart w:id="483" w:name="Tc_XCzj8FcBl02ff7PKRKaMzg_3_0"/>
      <w:bookmarkStart w:id="484" w:name="Tc_ESZlTtMVREGupsY3j9zchg_2_16"/>
      <w:bookmarkStart w:id="485" w:name="Tc_JwfjWrrlm0KZ9Wdh6Wco2Q_2_10"/>
      <w:bookmarkStart w:id="486" w:name="Tc_SfXi9t4f_kiklf6z83bhJQ_2_7"/>
      <w:bookmarkStart w:id="487" w:name="Tc_JSPDbWNEa0SQkKazxFg27A_1_10"/>
      <w:bookmarkStart w:id="488" w:name="_2d85d136_4fb4_43a8_952e_87bfd5a5df55"/>
      <w:bookmarkStart w:id="489" w:name="Tc_U5mGVOMIOU6tkA910hXxKQ_13_16"/>
      <w:bookmarkStart w:id="490" w:name="Tc_RYuLya7EIkuod1sk9KaCzg_13_13"/>
      <w:bookmarkStart w:id="491" w:name="Tc_Pxaj6M3HmUezx0Xh_n_LEA_13_10"/>
      <w:bookmarkStart w:id="492" w:name="Tc_1GsHUnRyF0iyjKvcd6nkLA_13_7"/>
      <w:bookmarkStart w:id="493" w:name="Tc_aH2j2zxpCEmq6dAedV0ZTA_13_4"/>
      <w:bookmarkStart w:id="494" w:name="Tc_tn7e0bDhZEmk2bf2oeELwQ_13_0"/>
      <w:bookmarkStart w:id="495" w:name="Tc_Enefm6LQ7EWaanRLKFt4nA_12_14"/>
      <w:bookmarkStart w:id="496" w:name="Tc_4M4HMbng_U2LzqdGfO_tFQ_12_8"/>
      <w:bookmarkStart w:id="497" w:name="Tc_xqAoh-m58EODqmu0gsVBbQ_12_5"/>
      <w:bookmarkStart w:id="498" w:name="Tc_eL198uPpfEWJxZWPKHwGXg_12_2"/>
      <w:bookmarkStart w:id="499" w:name="Tc_2V-fZucQ6EWSAaZw_5h-Pg_12_0"/>
      <w:bookmarkStart w:id="500" w:name="Tc_PMNk1-bNOE-WNnxFT3JXPQ_11_11"/>
      <w:bookmarkStart w:id="501" w:name="Tc_DvCkQeJI8kqp6DX1Xehgyw_11_8"/>
      <w:bookmarkStart w:id="502" w:name="Tc_CcQDXdufYEOVtyGmCZSIjA_11_5"/>
      <w:bookmarkStart w:id="503" w:name="Tc_ebwuu0ceVECQ2vOYe12sMA_11_2"/>
      <w:bookmarkStart w:id="504" w:name="Tc_ix2NjsbtREyCexYiib6DmQ_11_0"/>
      <w:bookmarkStart w:id="505" w:name="Tc_SDhvA7M1a0-DfHZ3gO0_NQ_10_14"/>
      <w:bookmarkStart w:id="506" w:name="Tc__v41rYWd-UWJoc_Sfm9kTg_10_11"/>
      <w:bookmarkStart w:id="507" w:name="Tc_JsDmbNYhBkCG0Mau4NbJEA_10_5"/>
      <w:bookmarkStart w:id="508" w:name="Tc_ujBC6iaDHku6UvbXlZUASA_10_2"/>
      <w:bookmarkStart w:id="509" w:name="Tc_OXUQk2rXtk-kuXtz9_m7nw_10_0"/>
      <w:bookmarkStart w:id="510" w:name="Tc_44OorLoFJkC7ousV4fGWFQ_9_14"/>
      <w:bookmarkStart w:id="511" w:name="Tc_x9KmVECZi0-zawtJ3UX4hQ_9_11"/>
      <w:bookmarkStart w:id="512" w:name="Tc_bxATm-SZ-kSXXUenwXP8QA_9_5"/>
      <w:bookmarkStart w:id="513" w:name="Tc_EVc42vuwO0CVmHef6duafQ_9_2"/>
      <w:bookmarkStart w:id="514" w:name="Tc_60jfvKNOcUmhPB2f5NcShw_9_0"/>
      <w:bookmarkStart w:id="515" w:name="Tc_n1LRinnPfUKjUD86yYz-6g_8_14"/>
      <w:bookmarkStart w:id="516" w:name="Tc_fYb0iMh-t0iqHMoH_DuH3w_8_11"/>
      <w:bookmarkStart w:id="517" w:name="Tc_TSSXuzSqPkuYOmRPqXa3tw_8_5"/>
      <w:bookmarkStart w:id="518" w:name="Tc_KMhEts9Si0mOR3ABl-Trvg_8_0"/>
      <w:bookmarkStart w:id="519" w:name="Tc__Evsg_FPtEmoqbSdEp_-4w_7_17"/>
      <w:bookmarkStart w:id="520" w:name="Tc_oWPTONySDkCwMT1vC2C0TQ_7_14"/>
      <w:bookmarkStart w:id="521" w:name="Tc_uTs18irZAkGxbRZyjoEQ2g_7_11"/>
      <w:bookmarkStart w:id="522" w:name="Tc_1MfOUmt65UqO7LIUBX-MIw_7_8"/>
      <w:bookmarkStart w:id="523" w:name="Tc_3pGUN0lorE6cfEGKiGXGjQ_7_5"/>
      <w:bookmarkStart w:id="524" w:name="Tc_6NCKkKOPlkG7d6h3W6lgTA_7_0"/>
      <w:bookmarkStart w:id="525" w:name="Tc_wuPKMBeE1k6R2Qh-eKRXlw_6_14"/>
      <w:bookmarkStart w:id="526" w:name="Tc_KqN7H3-QVES_TIL7pj307A_6_11"/>
      <w:bookmarkStart w:id="527" w:name="Tc_86rQ99HdGUiMsXGQkH4BXg_6_5"/>
      <w:bookmarkStart w:id="528" w:name="Tc_0zsBnbEye0ycjueYTHk-7g_6_0"/>
      <w:bookmarkStart w:id="529" w:name="Tc_SdafSnxphUGtUOOlnKWEWg_5_16"/>
      <w:bookmarkStart w:id="530" w:name="Tc_bU7flwq3h0G-shAMDyIpVw_5_13"/>
      <w:bookmarkStart w:id="531" w:name="Tc_jFoS2t3RP0iTt3uEDWpIUQ_5_10"/>
      <w:bookmarkStart w:id="532" w:name="Tc_CGMaSy69EUa5I65VC3Y4aQ_5_7"/>
      <w:bookmarkStart w:id="533" w:name="Tc_2VLrB40gRE-i0VMyrc_YaA_5_4"/>
      <w:bookmarkStart w:id="534" w:name="Tc_IzBActJ_QE-93DLJAI8wzg_5_0"/>
      <w:bookmarkStart w:id="535" w:name="Tc_QAOejHPvvE-Pgj7AbmNtOg_4_16"/>
      <w:bookmarkStart w:id="536" w:name="Tc_Aeahz-4f20uY8ZQh_yEoXg_4_13"/>
      <w:bookmarkStart w:id="537" w:name="Tc_7yNTXzHSsEqGTV27qTpWJw_4_10"/>
      <w:bookmarkStart w:id="538" w:name="Tc_zYvr7aL7zEShOuLA_Xesrw_4_7"/>
      <w:bookmarkStart w:id="539" w:name="Tc_bV-YC5HUBE2VMHpqdOYwuQ_4_4"/>
      <w:bookmarkStart w:id="540" w:name="Tc_g1vkUn7NEUueSM7IZu_L8A_4_2"/>
      <w:bookmarkStart w:id="541" w:name="Tc_JZSKgbiOdkSa4xFMXMo_iw_3_16"/>
      <w:bookmarkStart w:id="542" w:name="Tc_uJghNkgC8kOHFD83YRd3wg_3_13"/>
      <w:bookmarkStart w:id="543" w:name="Tc_xKMvItin9kG_gOA5qjk0hA_3_10"/>
      <w:bookmarkStart w:id="544" w:name="Tc_Un_8lFUzj0q4i82iz0e4mg_3_7"/>
      <w:bookmarkStart w:id="545" w:name="Tc_WCuEDdTDQU-BZYww5_3oEQ_3_2"/>
      <w:bookmarkStart w:id="546" w:name="Tc_XCzj8FcBl02ff7PKRKaMzg_3_0"/>
      <w:bookmarkStart w:id="547" w:name="Tc_ESZlTtMVREGupsY3j9zchg_2_16"/>
      <w:bookmarkStart w:id="548" w:name="Tc_JwfjWrrlm0KZ9Wdh6Wco2Q_2_10"/>
      <w:bookmarkStart w:id="549" w:name="Tc_SfXi9t4f_kiklf6z83bhJQ_2_7"/>
      <w:bookmarkStart w:id="550" w:name="Tc_JSPDbWNEa0SQkKazxFg27A_1_10"/>
      <w:bookmarkStart w:id="551" w:name="_2d85d136_4fb4_43a8_952e_87bfd5a5df55"/>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tbl>
      <w:tblPr>
        <w:tblW w:w="10205" w:type="dxa"/>
        <w:jc w:val="left"/>
        <w:tblInd w:w="0" w:type="dxa"/>
        <w:tblLayout w:type="fixed"/>
        <w:tblCellMar>
          <w:top w:w="0" w:type="dxa"/>
          <w:left w:w="0" w:type="dxa"/>
          <w:bottom w:w="0" w:type="dxa"/>
          <w:right w:w="0" w:type="dxa"/>
        </w:tblCellMar>
      </w:tblPr>
      <w:tblGrid>
        <w:gridCol w:w="2800"/>
        <w:gridCol w:w="346"/>
        <w:gridCol w:w="796"/>
        <w:gridCol w:w="346"/>
        <w:gridCol w:w="216"/>
        <w:gridCol w:w="415"/>
        <w:gridCol w:w="346"/>
        <w:gridCol w:w="181"/>
        <w:gridCol w:w="721"/>
        <w:gridCol w:w="346"/>
        <w:gridCol w:w="252"/>
        <w:gridCol w:w="799"/>
        <w:gridCol w:w="346"/>
        <w:gridCol w:w="181"/>
        <w:gridCol w:w="786"/>
        <w:gridCol w:w="346"/>
        <w:gridCol w:w="203"/>
        <w:gridCol w:w="779"/>
      </w:tblGrid>
      <w:tr>
        <w:trPr/>
        <w:tc>
          <w:tcPr>
            <w:tcW w:w="2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78000" cy="175260"/>
                      <wp:effectExtent l="0" t="0" r="0" b="0"/>
                      <wp:wrapNone/>
                      <wp:docPr id="55" name="Frame55"/>
                      <a:graphic xmlns:a="http://schemas.openxmlformats.org/drawingml/2006/main">
                        <a:graphicData uri="http://schemas.microsoft.com/office/word/2010/wordprocessingShape">
                          <wps:wsp>
                            <wps:cNvSpPr txBox="1"/>
                            <wps:spPr>
                              <a:xfrm>
                                <a:off x="0" y="0"/>
                                <a:ext cx="177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175260"/>
                      <wp:effectExtent l="0" t="0" r="0" b="0"/>
                      <wp:wrapNone/>
                      <wp:docPr id="57"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7160" cy="175260"/>
                      <wp:effectExtent l="0" t="0" r="0" b="0"/>
                      <wp:wrapNone/>
                      <wp:docPr id="59" name="Frame5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63525" cy="175260"/>
                      <wp:effectExtent l="0" t="0" r="0" b="0"/>
                      <wp:wrapNone/>
                      <wp:docPr id="60" name="Frame6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0020" cy="175260"/>
                      <wp:effectExtent l="0" t="0" r="0" b="0"/>
                      <wp:wrapNone/>
                      <wp:docPr id="65" name="Frame6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7365" cy="175260"/>
                      <wp:effectExtent l="0" t="0" r="0" b="0"/>
                      <wp:wrapNone/>
                      <wp:docPr id="66" name="Frame66"/>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9110" cy="175260"/>
                      <wp:effectExtent l="0" t="0" r="0" b="0"/>
                      <wp:wrapNone/>
                      <wp:docPr id="69" name="Frame6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8905" cy="175260"/>
                      <wp:effectExtent l="0" t="0" r="0" b="0"/>
                      <wp:wrapNone/>
                      <wp:docPr id="71" name="Frame7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4665" cy="175260"/>
                      <wp:effectExtent l="0" t="0" r="0" b="0"/>
                      <wp:wrapNone/>
                      <wp:docPr id="72" name="Frame7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Three months ended June 30, 2025</w:t>
            </w:r>
          </w:p>
        </w:tc>
        <w:tc>
          <w:tcPr>
            <w:tcW w:w="346" w:type="dxa"/>
            <w:tcBorders/>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 income</w:t>
            </w:r>
          </w:p>
        </w:tc>
        <w:tc>
          <w:tcPr>
            <w:tcW w:w="346"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79,225,276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2,608,422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(13,949)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(2,780,311)</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(185,760)</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36,196</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1,134</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44,190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72,483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2,827</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18,543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18,543</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Receivable from investor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(64,849)</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(64,849)</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income</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21,305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21,305</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79,378,145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2,631,180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(2,845,160)</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(206,546)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2" w:name="Tc_wue7GKQcE0meEDOpsjAnEA_15_16"/>
      <w:bookmarkStart w:id="553" w:name="Tc_Hv9Zb3wmh0iRusyOCNU9EQ_15_13"/>
      <w:bookmarkStart w:id="554" w:name="Tc_V3I-VGVIlkS_6bACpqo4vQ_15_10"/>
      <w:bookmarkStart w:id="555" w:name="Tc_vyL2Nh93PkOdLDJ5Qj0mqQ_15_7"/>
      <w:bookmarkStart w:id="556" w:name="Tc_gWjs78TrPUmohKq9y8avhg_15_4"/>
      <w:bookmarkStart w:id="557" w:name="Tc_DOUnRLqVM0y86uAEg7tODA_15_0"/>
      <w:bookmarkStart w:id="558" w:name="Tc_7pkpVB5IbkWIVetxwFXn8Q_14_14"/>
      <w:bookmarkStart w:id="559" w:name="Tc_oPjEyLjIt0CzFxKj5UK0wQ_14_8"/>
      <w:bookmarkStart w:id="560" w:name="Tc_n0ghJ8TzUUK_Uhz_cCFFwA_14_5"/>
      <w:bookmarkStart w:id="561" w:name="Tc_bf5vNCM6Jku32t2bE_QR2w_14_2"/>
      <w:bookmarkStart w:id="562" w:name="Tc__PzrLRiXtECGULcOoJrSng_14_0"/>
      <w:bookmarkStart w:id="563" w:name="Tc_JUWzRSQ4u0Gmw_nrHM-GTw_13_11"/>
      <w:bookmarkStart w:id="564" w:name="Tc_Vq0J5c3j1kO61DcG17x-PA_13_8"/>
      <w:bookmarkStart w:id="565" w:name="Tc_JVlWr3q8_0S-m5qJIuF6aA_13_5"/>
      <w:bookmarkStart w:id="566" w:name="Tc_-6VOb5eooUCJRuuY9XASBA_13_2"/>
      <w:bookmarkStart w:id="567" w:name="Tc_muGzcRJZQkKan2QkBKc2-Q_13_0"/>
      <w:bookmarkStart w:id="568" w:name="Tc_y1EcNFlDEkiocXZt8ZzBYw_12_14"/>
      <w:bookmarkStart w:id="569" w:name="Tc_i3CqR771e0KMr7XW_ab_zA_12_11"/>
      <w:bookmarkStart w:id="570" w:name="Tc_VENi_JCQnUirMqrsaQVAoQ_12_5"/>
      <w:bookmarkStart w:id="571" w:name="Tc_4rod9tnbEUaVmt3SBejsXw_12_2"/>
      <w:bookmarkStart w:id="572" w:name="Tc_-mQyge_xH0GaykENEcJl8A_12_0"/>
      <w:bookmarkStart w:id="573" w:name="Tc_CYYQRweE0kGQbkXiRFCUDw_11_14"/>
      <w:bookmarkStart w:id="574" w:name="Tc_lf-BaocOdEuOhBicSIRwSg_11_11"/>
      <w:bookmarkStart w:id="575" w:name="Tc_GME2JdCMVk6ZV06Rjzx_Aw_11_5"/>
      <w:bookmarkStart w:id="576" w:name="Tc_M5oJFp4OnEeR3Uaq6yF1-g_11_2"/>
      <w:bookmarkStart w:id="577" w:name="Tc_5WJHJxjiNUKxyXwH_okM1Q_11_0"/>
      <w:bookmarkStart w:id="578" w:name="Tc_0xb6B34idEe3ynz5db1HHQ_10_14"/>
      <w:bookmarkStart w:id="579" w:name="Tc_x4u3LOwmW0u_gDsTAhgWvg_10_11"/>
      <w:bookmarkStart w:id="580" w:name="Tc_fN11zRRTC02MuAxgujODpQ_10_5"/>
      <w:bookmarkStart w:id="581" w:name="Tc_Ca2OFb5YLEWDg8Q6oCrgzQ_10_0"/>
      <w:bookmarkStart w:id="582" w:name="Tc_32tWVmJwxEWiglYLJKjrKQ_9_14"/>
      <w:bookmarkStart w:id="583" w:name="Tc_nzSxx4FTNkuLsp8rZ0vy1g_9_11"/>
      <w:bookmarkStart w:id="584" w:name="Tc_7mtxKFFUqUyrhk2Erl9g0w_9_5"/>
      <w:bookmarkStart w:id="585" w:name="Tc_VRT5QMOmz0GPMNJZh0sF0Q_9_0"/>
      <w:bookmarkStart w:id="586" w:name="Tc_Tnrkp3HUAU6VBIY9RyUXlQ_8_14"/>
      <w:bookmarkStart w:id="587" w:name="Tc_d3o8ANG1TEKDMgOrhFIzXw_8_11"/>
      <w:bookmarkStart w:id="588" w:name="Tc_ZQt7Y_WQDkq-7n7ZW_ILmA_8_5"/>
      <w:bookmarkStart w:id="589" w:name="Tc_9O_IvoDC5UuRd7WR22cdCQ_8_2"/>
      <w:bookmarkStart w:id="590" w:name="Tc_Duq5RK7YSEiLKIGNp9WyzA_8_0"/>
      <w:bookmarkStart w:id="591" w:name="Tc_5Vhoj4rRrk6i_BH3wqjjVA_7_14"/>
      <w:bookmarkStart w:id="592" w:name="Tc_UnZKyQ05e0-9Ei_wl4nPjA_7_11"/>
      <w:bookmarkStart w:id="593" w:name="Tc_rRyL9H8YJUGYEBlEBaFnPA_7_8"/>
      <w:bookmarkStart w:id="594" w:name="Tc_PMU-E3bdPE-OLS3Dr4qVfg_7_0"/>
      <w:bookmarkStart w:id="595" w:name="Tc_1AUI_6NrfEyBCAi_CDbriA_6_14"/>
      <w:bookmarkStart w:id="596" w:name="Tc_8EtzqKwgpkuz-0DzCu8BCw_6_11"/>
      <w:bookmarkStart w:id="597" w:name="Tc_7_1_pF4o-kekiPXmTERV-A_6_0"/>
      <w:bookmarkStart w:id="598" w:name="Tc_OoG8xjmD5EitT2MzmPxdlA_5_16"/>
      <w:bookmarkStart w:id="599" w:name="Tc_ks6mhpHBDkG7NUNgik4Sdw_5_13"/>
      <w:bookmarkStart w:id="600" w:name="Tc_LeVUu0EHlEOt3HhS8TFiag_5_10"/>
      <w:bookmarkStart w:id="601" w:name="Tc_sceemGqInUqGHo3ey4gDMQ_5_7"/>
      <w:bookmarkStart w:id="602" w:name="Tc_Y40v763PQUqFJuRWmDaaWQ_5_4"/>
      <w:bookmarkStart w:id="603" w:name="Tc_ExY2UZZ0hkKYjPe23qu96Q_5_0"/>
      <w:bookmarkStart w:id="604" w:name="Tc__ZmX8ZVOw0ScuCgz53wM1w_4_16"/>
      <w:bookmarkStart w:id="605" w:name="Tc_QRQLad0EPUq3wcx04EzaEg_4_13"/>
      <w:bookmarkStart w:id="606" w:name="Tc__J0xoQ-Eq0Kcl_O9lxcJuw_4_10"/>
      <w:bookmarkStart w:id="607" w:name="Tc_3xdYL4fWmkypbxTEpRaz9w_4_7"/>
      <w:bookmarkStart w:id="608" w:name="Tc_nz1Jih2AC0mvMJTVrmYRrg_4_4"/>
      <w:bookmarkStart w:id="609" w:name="Tc_2edrejXZ20uEXx1CpIffeA_4_2"/>
      <w:bookmarkStart w:id="610" w:name="Tc_oMxDnPSFiEWB0CRunvOHig_3_16"/>
      <w:bookmarkStart w:id="611" w:name="Tc_VRuh_WQzO0ydqWuIoKlpWQ_3_13"/>
      <w:bookmarkStart w:id="612" w:name="Tc_gkYph1GtuU64H-5mzKVrhQ_3_10"/>
      <w:bookmarkStart w:id="613" w:name="Tc_GXN9cByI7UGNBbPhAAp3gg_3_7"/>
      <w:bookmarkStart w:id="614" w:name="Tc_oW19GoKSP0iPepZv8EYhww_3_2"/>
      <w:bookmarkStart w:id="615" w:name="Tc_oioScBpzrU68_ALwponXIw_3_0"/>
      <w:bookmarkStart w:id="616" w:name="Tc_kRqdo4JZxkOWsrcYx67FZg_2_16"/>
      <w:bookmarkStart w:id="617" w:name="Tc_IcHElWKp8U6cFQgFGj0UQw_2_10"/>
      <w:bookmarkStart w:id="618" w:name="Tc_Mg3u9R0qBEGtdClGtjhAMQ_2_7"/>
      <w:bookmarkStart w:id="619" w:name="Tc_w981_Qm0d0GV5OywmBZmUQ_1_10"/>
      <w:bookmarkStart w:id="620" w:name="_6d777a15_4cb4_41a0_9d9f_b5b60002aa71"/>
      <w:bookmarkStart w:id="621" w:name="Tc_wue7GKQcE0meEDOpsjAnEA_15_16"/>
      <w:bookmarkStart w:id="622" w:name="Tc_Hv9Zb3wmh0iRusyOCNU9EQ_15_13"/>
      <w:bookmarkStart w:id="623" w:name="Tc_V3I-VGVIlkS_6bACpqo4vQ_15_10"/>
      <w:bookmarkStart w:id="624" w:name="Tc_vyL2Nh93PkOdLDJ5Qj0mqQ_15_7"/>
      <w:bookmarkStart w:id="625" w:name="Tc_gWjs78TrPUmohKq9y8avhg_15_4"/>
      <w:bookmarkStart w:id="626" w:name="Tc_DOUnRLqVM0y86uAEg7tODA_15_0"/>
      <w:bookmarkStart w:id="627" w:name="Tc_7pkpVB5IbkWIVetxwFXn8Q_14_14"/>
      <w:bookmarkStart w:id="628" w:name="Tc_oPjEyLjIt0CzFxKj5UK0wQ_14_8"/>
      <w:bookmarkStart w:id="629" w:name="Tc_n0ghJ8TzUUK_Uhz_cCFFwA_14_5"/>
      <w:bookmarkStart w:id="630" w:name="Tc_bf5vNCM6Jku32t2bE_QR2w_14_2"/>
      <w:bookmarkStart w:id="631" w:name="Tc__PzrLRiXtECGULcOoJrSng_14_0"/>
      <w:bookmarkStart w:id="632" w:name="Tc_JUWzRSQ4u0Gmw_nrHM-GTw_13_11"/>
      <w:bookmarkStart w:id="633" w:name="Tc_Vq0J5c3j1kO61DcG17x-PA_13_8"/>
      <w:bookmarkStart w:id="634" w:name="Tc_JVlWr3q8_0S-m5qJIuF6aA_13_5"/>
      <w:bookmarkStart w:id="635" w:name="Tc_-6VOb5eooUCJRuuY9XASBA_13_2"/>
      <w:bookmarkStart w:id="636" w:name="Tc_muGzcRJZQkKan2QkBKc2-Q_13_0"/>
      <w:bookmarkStart w:id="637" w:name="Tc_y1EcNFlDEkiocXZt8ZzBYw_12_14"/>
      <w:bookmarkStart w:id="638" w:name="Tc_i3CqR771e0KMr7XW_ab_zA_12_11"/>
      <w:bookmarkStart w:id="639" w:name="Tc_VENi_JCQnUirMqrsaQVAoQ_12_5"/>
      <w:bookmarkStart w:id="640" w:name="Tc_4rod9tnbEUaVmt3SBejsXw_12_2"/>
      <w:bookmarkStart w:id="641" w:name="Tc_-mQyge_xH0GaykENEcJl8A_12_0"/>
      <w:bookmarkStart w:id="642" w:name="Tc_CYYQRweE0kGQbkXiRFCUDw_11_14"/>
      <w:bookmarkStart w:id="643" w:name="Tc_lf-BaocOdEuOhBicSIRwSg_11_11"/>
      <w:bookmarkStart w:id="644" w:name="Tc_GME2JdCMVk6ZV06Rjzx_Aw_11_5"/>
      <w:bookmarkStart w:id="645" w:name="Tc_M5oJFp4OnEeR3Uaq6yF1-g_11_2"/>
      <w:bookmarkStart w:id="646" w:name="Tc_5WJHJxjiNUKxyXwH_okM1Q_11_0"/>
      <w:bookmarkStart w:id="647" w:name="Tc_0xb6B34idEe3ynz5db1HHQ_10_14"/>
      <w:bookmarkStart w:id="648" w:name="Tc_x4u3LOwmW0u_gDsTAhgWvg_10_11"/>
      <w:bookmarkStart w:id="649" w:name="Tc_fN11zRRTC02MuAxgujODpQ_10_5"/>
      <w:bookmarkStart w:id="650" w:name="Tc_Ca2OFb5YLEWDg8Q6oCrgzQ_10_0"/>
      <w:bookmarkStart w:id="651" w:name="Tc_32tWVmJwxEWiglYLJKjrKQ_9_14"/>
      <w:bookmarkStart w:id="652" w:name="Tc_nzSxx4FTNkuLsp8rZ0vy1g_9_11"/>
      <w:bookmarkStart w:id="653" w:name="Tc_7mtxKFFUqUyrhk2Erl9g0w_9_5"/>
      <w:bookmarkStart w:id="654" w:name="Tc_VRT5QMOmz0GPMNJZh0sF0Q_9_0"/>
      <w:bookmarkStart w:id="655" w:name="Tc_Tnrkp3HUAU6VBIY9RyUXlQ_8_14"/>
      <w:bookmarkStart w:id="656" w:name="Tc_d3o8ANG1TEKDMgOrhFIzXw_8_11"/>
      <w:bookmarkStart w:id="657" w:name="Tc_ZQt7Y_WQDkq-7n7ZW_ILmA_8_5"/>
      <w:bookmarkStart w:id="658" w:name="Tc_9O_IvoDC5UuRd7WR22cdCQ_8_2"/>
      <w:bookmarkStart w:id="659" w:name="Tc_Duq5RK7YSEiLKIGNp9WyzA_8_0"/>
      <w:bookmarkStart w:id="660" w:name="Tc_5Vhoj4rRrk6i_BH3wqjjVA_7_14"/>
      <w:bookmarkStart w:id="661" w:name="Tc_UnZKyQ05e0-9Ei_wl4nPjA_7_11"/>
      <w:bookmarkStart w:id="662" w:name="Tc_rRyL9H8YJUGYEBlEBaFnPA_7_8"/>
      <w:bookmarkStart w:id="663" w:name="Tc_PMU-E3bdPE-OLS3Dr4qVfg_7_0"/>
      <w:bookmarkStart w:id="664" w:name="Tc_1AUI_6NrfEyBCAi_CDbriA_6_14"/>
      <w:bookmarkStart w:id="665" w:name="Tc_8EtzqKwgpkuz-0DzCu8BCw_6_11"/>
      <w:bookmarkStart w:id="666" w:name="Tc_7_1_pF4o-kekiPXmTERV-A_6_0"/>
      <w:bookmarkStart w:id="667" w:name="Tc_OoG8xjmD5EitT2MzmPxdlA_5_16"/>
      <w:bookmarkStart w:id="668" w:name="Tc_ks6mhpHBDkG7NUNgik4Sdw_5_13"/>
      <w:bookmarkStart w:id="669" w:name="Tc_LeVUu0EHlEOt3HhS8TFiag_5_10"/>
      <w:bookmarkStart w:id="670" w:name="Tc_sceemGqInUqGHo3ey4gDMQ_5_7"/>
      <w:bookmarkStart w:id="671" w:name="Tc_Y40v763PQUqFJuRWmDaaWQ_5_4"/>
      <w:bookmarkStart w:id="672" w:name="Tc_ExY2UZZ0hkKYjPe23qu96Q_5_0"/>
      <w:bookmarkStart w:id="673" w:name="Tc__ZmX8ZVOw0ScuCgz53wM1w_4_16"/>
      <w:bookmarkStart w:id="674" w:name="Tc_QRQLad0EPUq3wcx04EzaEg_4_13"/>
      <w:bookmarkStart w:id="675" w:name="Tc__J0xoQ-Eq0Kcl_O9lxcJuw_4_10"/>
      <w:bookmarkStart w:id="676" w:name="Tc_3xdYL4fWmkypbxTEpRaz9w_4_7"/>
      <w:bookmarkStart w:id="677" w:name="Tc_nz1Jih2AC0mvMJTVrmYRrg_4_4"/>
      <w:bookmarkStart w:id="678" w:name="Tc_2edrejXZ20uEXx1CpIffeA_4_2"/>
      <w:bookmarkStart w:id="679" w:name="Tc_oMxDnPSFiEWB0CRunvOHig_3_16"/>
      <w:bookmarkStart w:id="680" w:name="Tc_VRuh_WQzO0ydqWuIoKlpWQ_3_13"/>
      <w:bookmarkStart w:id="681" w:name="Tc_gkYph1GtuU64H-5mzKVrhQ_3_10"/>
      <w:bookmarkStart w:id="682" w:name="Tc_GXN9cByI7UGNBbPhAAp3gg_3_7"/>
      <w:bookmarkStart w:id="683" w:name="Tc_oW19GoKSP0iPepZv8EYhww_3_2"/>
      <w:bookmarkStart w:id="684" w:name="Tc_oioScBpzrU68_ALwponXIw_3_0"/>
      <w:bookmarkStart w:id="685" w:name="Tc_kRqdo4JZxkOWsrcYx67FZg_2_16"/>
      <w:bookmarkStart w:id="686" w:name="Tc_IcHElWKp8U6cFQgFGj0UQw_2_10"/>
      <w:bookmarkStart w:id="687" w:name="Tc_Mg3u9R0qBEGtdClGtjhAMQ_2_7"/>
      <w:bookmarkStart w:id="688" w:name="Tc_w981_Qm0d0GV5OywmBZmUQ_1_10"/>
      <w:bookmarkStart w:id="689" w:name="_6d777a15_4cb4_41a0_9d9f_b5b60002aa71"/>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tbl>
      <w:tblPr>
        <w:tblW w:w="10205" w:type="dxa"/>
        <w:jc w:val="left"/>
        <w:tblInd w:w="0" w:type="dxa"/>
        <w:tblLayout w:type="fixed"/>
        <w:tblCellMar>
          <w:top w:w="0" w:type="dxa"/>
          <w:left w:w="0" w:type="dxa"/>
          <w:bottom w:w="0" w:type="dxa"/>
          <w:right w:w="0" w:type="dxa"/>
        </w:tblCellMar>
      </w:tblPr>
      <w:tblGrid>
        <w:gridCol w:w="2800"/>
        <w:gridCol w:w="346"/>
        <w:gridCol w:w="796"/>
        <w:gridCol w:w="346"/>
        <w:gridCol w:w="216"/>
        <w:gridCol w:w="415"/>
        <w:gridCol w:w="346"/>
        <w:gridCol w:w="181"/>
        <w:gridCol w:w="721"/>
        <w:gridCol w:w="346"/>
        <w:gridCol w:w="268"/>
        <w:gridCol w:w="783"/>
        <w:gridCol w:w="346"/>
        <w:gridCol w:w="181"/>
        <w:gridCol w:w="786"/>
        <w:gridCol w:w="346"/>
        <w:gridCol w:w="203"/>
        <w:gridCol w:w="779"/>
      </w:tblGrid>
      <w:tr>
        <w:trPr/>
        <w:tc>
          <w:tcPr>
            <w:tcW w:w="2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78000" cy="175260"/>
                      <wp:effectExtent l="0" t="0" r="0" b="0"/>
                      <wp:wrapNone/>
                      <wp:docPr id="73" name="Frame73"/>
                      <a:graphic xmlns:a="http://schemas.openxmlformats.org/drawingml/2006/main">
                        <a:graphicData uri="http://schemas.microsoft.com/office/word/2010/wordprocessingShape">
                          <wps:wsp>
                            <wps:cNvSpPr txBox="1"/>
                            <wps:spPr>
                              <a:xfrm>
                                <a:off x="0" y="0"/>
                                <a:ext cx="177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5460" cy="175260"/>
                      <wp:effectExtent l="0" t="0" r="0" b="0"/>
                      <wp:wrapNone/>
                      <wp:docPr id="75" name="Frame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7160" cy="175260"/>
                      <wp:effectExtent l="0" t="0" r="0" b="0"/>
                      <wp:wrapNone/>
                      <wp:docPr id="77" name="Frame7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3525" cy="175260"/>
                      <wp:effectExtent l="0" t="0" r="0" b="0"/>
                      <wp:wrapNone/>
                      <wp:docPr id="78" name="Frame7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4935" cy="175260"/>
                      <wp:effectExtent l="0" t="0" r="0" b="0"/>
                      <wp:wrapNone/>
                      <wp:docPr id="80" name="Frame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7835" cy="175260"/>
                      <wp:effectExtent l="0" t="0" r="0" b="0"/>
                      <wp:wrapNone/>
                      <wp:docPr id="81"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0180" cy="175260"/>
                      <wp:effectExtent l="0" t="0" r="0" b="0"/>
                      <wp:wrapNone/>
                      <wp:docPr id="83" name="Frame8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7205" cy="175260"/>
                      <wp:effectExtent l="0" t="0" r="0" b="0"/>
                      <wp:wrapNone/>
                      <wp:docPr id="84" name="Frame8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4935" cy="175260"/>
                      <wp:effectExtent l="0" t="0" r="0" b="0"/>
                      <wp:wrapNone/>
                      <wp:docPr id="86" name="Frame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9110" cy="175260"/>
                      <wp:effectExtent l="0" t="0" r="0" b="0"/>
                      <wp:wrapNone/>
                      <wp:docPr id="87" name="Frame8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8905" cy="175260"/>
                      <wp:effectExtent l="0" t="0" r="0" b="0"/>
                      <wp:wrapNone/>
                      <wp:docPr id="89" name="Frame8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4665" cy="175260"/>
                      <wp:effectExtent l="0" t="0" r="0" b="0"/>
                      <wp:wrapNone/>
                      <wp:docPr id="90" name="Frame90"/>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2026</w:t>
            </w:r>
          </w:p>
        </w:tc>
        <w:tc>
          <w:tcPr>
            <w:tcW w:w="346" w:type="dxa"/>
            <w:tcBorders/>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46"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81,474,366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2,748,335</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(2,964,229)</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(205,313)</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506,463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19,636</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19,637</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1,294,464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2026 Convertible Notes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(102,734)</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(102,734)</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Conversion of 2026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(2,899)</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(2,899)</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48,487</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3,163</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3,163</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46,712</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46,712</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Receivable from investor</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80,687</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80,687</w:t>
            </w:r>
          </w:p>
        </w:tc>
      </w:tr>
      <w:tr>
        <w:trPr/>
        <w:tc>
          <w:tcPr>
            <w:tcW w:w="280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(4,484)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(4,484)</w:t>
            </w:r>
          </w:p>
        </w:tc>
      </w:tr>
      <w:tr>
        <w:trPr/>
        <w:tc>
          <w:tcPr>
            <w:tcW w:w="280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83,327,286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2,712,080</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(2,883,542)</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(165,363)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90" w:name="Tc_TQA6WAPlIUObLT7N23H18Q_13_16"/>
      <w:bookmarkStart w:id="691" w:name="Tc_Kx20SijpnEGsh92jg3TdUg_13_13"/>
      <w:bookmarkStart w:id="692" w:name="Tc_TNYPXEy4zkiBQbn1Btc0IA_13_10"/>
      <w:bookmarkStart w:id="693" w:name="Tc_1t4fGFXhmUCg8DFC0Mvdsw_13_7"/>
      <w:bookmarkStart w:id="694" w:name="Tc_AJYnf9ZYu0OsDX0tHvFqwA_13_4"/>
      <w:bookmarkStart w:id="695" w:name="Tc_jekqR0ZU2k6xnYJl-r8NHg_13_0"/>
      <w:bookmarkStart w:id="696" w:name="Tc_W3Ba7QE1TkaxZaeVWVMGmA_12_14"/>
      <w:bookmarkStart w:id="697" w:name="Tc_ggnK33mx4EaGo1iYfS7IjQ_12_8"/>
      <w:bookmarkStart w:id="698" w:name="Tc_bx2HJfE4DU2FxboQS9vETA_12_5"/>
      <w:bookmarkStart w:id="699" w:name="Tc_amhHjDixMkKv7642HQE0eQ_12_2"/>
      <w:bookmarkStart w:id="700" w:name="Tc_S4lEVtUQdkS8y4oLmZq7aA_12_0"/>
      <w:bookmarkStart w:id="701" w:name="Tc_v_V4IPpOcE2-yAS9QXHwEQ_11_11"/>
      <w:bookmarkStart w:id="702" w:name="Tc_OQDgwdJ9yk62ZYVZIGO_rQ_11_8"/>
      <w:bookmarkStart w:id="703" w:name="Tc_GBnXd_WDkki1YtfNFILt0Q_11_5"/>
      <w:bookmarkStart w:id="704" w:name="Tc_r2wAuTqCC0G9BeeAbrh3zQ_11_2"/>
      <w:bookmarkStart w:id="705" w:name="Tc_DuUwAEwbfESAdH5bLOpOYw_11_0"/>
      <w:bookmarkStart w:id="706" w:name="Tc_dWjlXXBlEEu89ZeZaO75gg_10_14"/>
      <w:bookmarkStart w:id="707" w:name="Tc_4gbMQ6BYt0eQNsdas87VWQ_10_11"/>
      <w:bookmarkStart w:id="708" w:name="Tc_yyCYYBEefk-Zyq_x_2cUhA_10_5"/>
      <w:bookmarkStart w:id="709" w:name="Tc_zcT-syBYcU-a36DCBPqxgQ_10_2"/>
      <w:bookmarkStart w:id="710" w:name="Tc_6JbiE37mCke1hJaebxqrSA_10_0"/>
      <w:bookmarkStart w:id="711" w:name="Tc_O7E1DCDN_02OkQvYSFeYNQ_9_14"/>
      <w:bookmarkStart w:id="712" w:name="Tc_zwUTC0Ap0U2GBjm2n6izlQ_9_11"/>
      <w:bookmarkStart w:id="713" w:name="Tc_8Obmocob8UqtTP5Ry1PlGg_9_5"/>
      <w:bookmarkStart w:id="714" w:name="Tc_FS0wWp8IA0eR6Ec6P591_A_9_2"/>
      <w:bookmarkStart w:id="715" w:name="Tc_WLvWVngCvkS0kXH6ZJsNMw_9_0"/>
      <w:bookmarkStart w:id="716" w:name="Tc_RBo_nRYpWk2wY81JKTWZDw_8_14"/>
      <w:bookmarkStart w:id="717" w:name="Tc_Fxo4eiosOEihHT0qcFStEw_8_11"/>
      <w:bookmarkStart w:id="718" w:name="Tc_jeKCBJfz_E-PsLKA7eFszQ_8_5"/>
      <w:bookmarkStart w:id="719" w:name="Tc_NzFH_h2ikkO5I8saQkMn0A_8_0"/>
      <w:bookmarkStart w:id="720" w:name="Tc_b58mPsD8jEuF3SBZaKKzMQ_7_14"/>
      <w:bookmarkStart w:id="721" w:name="Tc_zqIpUzVY9kueJaLIM6ipfg_7_11"/>
      <w:bookmarkStart w:id="722" w:name="Tc_RL2wJOXVLU2yfzdXPMUYcQ_7_8"/>
      <w:bookmarkStart w:id="723" w:name="Tc_TE6D8bbaIEa-uv1I8uYICQ_7_0"/>
      <w:bookmarkStart w:id="724" w:name="Tc_SNrbrORuokeN15zFS2_pTw_6_14"/>
      <w:bookmarkStart w:id="725" w:name="Tc_3Bu17trDy0i_5dkWKUGaCQ_6_11"/>
      <w:bookmarkStart w:id="726" w:name="Tc_hTeEKelXSUCAWO7_2bihiQ_6_5"/>
      <w:bookmarkStart w:id="727" w:name="Tc_tsFh13GbO0GXzPaUrcuoHw_6_0"/>
      <w:bookmarkStart w:id="728" w:name="Tc_VYa8RtswqU6Kk-Epqq5IQg_5_16"/>
      <w:bookmarkStart w:id="729" w:name="Tc_L9AYohzJqkiKiALx9Ps0YA_5_13"/>
      <w:bookmarkStart w:id="730" w:name="Tc_BMRdHvz0X0-5bg1m1x6HnA_5_10"/>
      <w:bookmarkStart w:id="731" w:name="Tc_Bx0Hf11yvUqyAKthU6GfuA_5_7"/>
      <w:bookmarkStart w:id="732" w:name="Tc_Lqi5cwS93UaG30QVDAv3_g_5_4"/>
      <w:bookmarkStart w:id="733" w:name="Tc_Iyra3iIQt0-n74HBg-kJ2g_5_0"/>
      <w:bookmarkStart w:id="734" w:name="Tc_9MIE68zVYka17cny3lBLaQ_4_16"/>
      <w:bookmarkStart w:id="735" w:name="Tc_vAgDp4D-b0WeMnhKNTbBkg_4_13"/>
      <w:bookmarkStart w:id="736" w:name="Tc_ZZ39K6Qmw06tD_1PBWIrhw_4_10"/>
      <w:bookmarkStart w:id="737" w:name="Tc_0I7pzChmlE6nt5kM0hT5YA_4_7"/>
      <w:bookmarkStart w:id="738" w:name="Tc_hyQDkR_hSUe8so_y4p8BcA_4_4"/>
      <w:bookmarkStart w:id="739" w:name="Tc_9NWGPAHoMEyvV0damTK2cA_4_2"/>
      <w:bookmarkStart w:id="740" w:name="Tc_sx6QJjJLfEa8QcwZTEe7Vw_3_16"/>
      <w:bookmarkStart w:id="741" w:name="Tc_HpiZczDIiUyr4nqbx8ix8Q_3_13"/>
      <w:bookmarkStart w:id="742" w:name="Tc_N7-ZB29EIUm5R1XsNs1I7w_3_10"/>
      <w:bookmarkStart w:id="743" w:name="Tc_3Lfy_5Wyu022uY_YQFINbA_3_7"/>
      <w:bookmarkStart w:id="744" w:name="Tc_qKT-FF17wUOLZCbskSO6gw_3_2"/>
      <w:bookmarkStart w:id="745" w:name="Tc_8Cdr7tSnd06RBRSYUKOkpg_3_0"/>
      <w:bookmarkStart w:id="746" w:name="Tc_p7q7MgFRGEiicqSnTcQaOg_2_16"/>
      <w:bookmarkStart w:id="747" w:name="Tc_xXzl5JXpCUaowc6e0afp9Q_2_10"/>
      <w:bookmarkStart w:id="748" w:name="Tc_3ffoq49uYk6kwIWW_zidug_2_7"/>
      <w:bookmarkStart w:id="749" w:name="Tc_BAHlJQt97UGdeU0egSzZoQ_1_10"/>
      <w:bookmarkStart w:id="750" w:name="_ae11f200_6fcd_4d21_a59b_739e81c154a3"/>
      <w:bookmarkStart w:id="751" w:name="Tc_TQA6WAPlIUObLT7N23H18Q_13_16"/>
      <w:bookmarkStart w:id="752" w:name="Tc_Kx20SijpnEGsh92jg3TdUg_13_13"/>
      <w:bookmarkStart w:id="753" w:name="Tc_TNYPXEy4zkiBQbn1Btc0IA_13_10"/>
      <w:bookmarkStart w:id="754" w:name="Tc_1t4fGFXhmUCg8DFC0Mvdsw_13_7"/>
      <w:bookmarkStart w:id="755" w:name="Tc_AJYnf9ZYu0OsDX0tHvFqwA_13_4"/>
      <w:bookmarkStart w:id="756" w:name="Tc_jekqR0ZU2k6xnYJl-r8NHg_13_0"/>
      <w:bookmarkStart w:id="757" w:name="Tc_W3Ba7QE1TkaxZaeVWVMGmA_12_14"/>
      <w:bookmarkStart w:id="758" w:name="Tc_ggnK33mx4EaGo1iYfS7IjQ_12_8"/>
      <w:bookmarkStart w:id="759" w:name="Tc_bx2HJfE4DU2FxboQS9vETA_12_5"/>
      <w:bookmarkStart w:id="760" w:name="Tc_amhHjDixMkKv7642HQE0eQ_12_2"/>
      <w:bookmarkStart w:id="761" w:name="Tc_S4lEVtUQdkS8y4oLmZq7aA_12_0"/>
      <w:bookmarkStart w:id="762" w:name="Tc_v_V4IPpOcE2-yAS9QXHwEQ_11_11"/>
      <w:bookmarkStart w:id="763" w:name="Tc_OQDgwdJ9yk62ZYVZIGO_rQ_11_8"/>
      <w:bookmarkStart w:id="764" w:name="Tc_GBnXd_WDkki1YtfNFILt0Q_11_5"/>
      <w:bookmarkStart w:id="765" w:name="Tc_r2wAuTqCC0G9BeeAbrh3zQ_11_2"/>
      <w:bookmarkStart w:id="766" w:name="Tc_DuUwAEwbfESAdH5bLOpOYw_11_0"/>
      <w:bookmarkStart w:id="767" w:name="Tc_dWjlXXBlEEu89ZeZaO75gg_10_14"/>
      <w:bookmarkStart w:id="768" w:name="Tc_4gbMQ6BYt0eQNsdas87VWQ_10_11"/>
      <w:bookmarkStart w:id="769" w:name="Tc_yyCYYBEefk-Zyq_x_2cUhA_10_5"/>
      <w:bookmarkStart w:id="770" w:name="Tc_zcT-syBYcU-a36DCBPqxgQ_10_2"/>
      <w:bookmarkStart w:id="771" w:name="Tc_6JbiE37mCke1hJaebxqrSA_10_0"/>
      <w:bookmarkStart w:id="772" w:name="Tc_O7E1DCDN_02OkQvYSFeYNQ_9_14"/>
      <w:bookmarkStart w:id="773" w:name="Tc_zwUTC0Ap0U2GBjm2n6izlQ_9_11"/>
      <w:bookmarkStart w:id="774" w:name="Tc_8Obmocob8UqtTP5Ry1PlGg_9_5"/>
      <w:bookmarkStart w:id="775" w:name="Tc_FS0wWp8IA0eR6Ec6P591_A_9_2"/>
      <w:bookmarkStart w:id="776" w:name="Tc_WLvWVngCvkS0kXH6ZJsNMw_9_0"/>
      <w:bookmarkStart w:id="777" w:name="Tc_RBo_nRYpWk2wY81JKTWZDw_8_14"/>
      <w:bookmarkStart w:id="778" w:name="Tc_Fxo4eiosOEihHT0qcFStEw_8_11"/>
      <w:bookmarkStart w:id="779" w:name="Tc_jeKCBJfz_E-PsLKA7eFszQ_8_5"/>
      <w:bookmarkStart w:id="780" w:name="Tc_NzFH_h2ikkO5I8saQkMn0A_8_0"/>
      <w:bookmarkStart w:id="781" w:name="Tc_b58mPsD8jEuF3SBZaKKzMQ_7_14"/>
      <w:bookmarkStart w:id="782" w:name="Tc_zqIpUzVY9kueJaLIM6ipfg_7_11"/>
      <w:bookmarkStart w:id="783" w:name="Tc_RL2wJOXVLU2yfzdXPMUYcQ_7_8"/>
      <w:bookmarkStart w:id="784" w:name="Tc_TE6D8bbaIEa-uv1I8uYICQ_7_0"/>
      <w:bookmarkStart w:id="785" w:name="Tc_SNrbrORuokeN15zFS2_pTw_6_14"/>
      <w:bookmarkStart w:id="786" w:name="Tc_3Bu17trDy0i_5dkWKUGaCQ_6_11"/>
      <w:bookmarkStart w:id="787" w:name="Tc_hTeEKelXSUCAWO7_2bihiQ_6_5"/>
      <w:bookmarkStart w:id="788" w:name="Tc_tsFh13GbO0GXzPaUrcuoHw_6_0"/>
      <w:bookmarkStart w:id="789" w:name="Tc_VYa8RtswqU6Kk-Epqq5IQg_5_16"/>
      <w:bookmarkStart w:id="790" w:name="Tc_L9AYohzJqkiKiALx9Ps0YA_5_13"/>
      <w:bookmarkStart w:id="791" w:name="Tc_BMRdHvz0X0-5bg1m1x6HnA_5_10"/>
      <w:bookmarkStart w:id="792" w:name="Tc_Bx0Hf11yvUqyAKthU6GfuA_5_7"/>
      <w:bookmarkStart w:id="793" w:name="Tc_Lqi5cwS93UaG30QVDAv3_g_5_4"/>
      <w:bookmarkStart w:id="794" w:name="Tc_Iyra3iIQt0-n74HBg-kJ2g_5_0"/>
      <w:bookmarkStart w:id="795" w:name="Tc_9MIE68zVYka17cny3lBLaQ_4_16"/>
      <w:bookmarkStart w:id="796" w:name="Tc_vAgDp4D-b0WeMnhKNTbBkg_4_13"/>
      <w:bookmarkStart w:id="797" w:name="Tc_ZZ39K6Qmw06tD_1PBWIrhw_4_10"/>
      <w:bookmarkStart w:id="798" w:name="Tc_0I7pzChmlE6nt5kM0hT5YA_4_7"/>
      <w:bookmarkStart w:id="799" w:name="Tc_hyQDkR_hSUe8so_y4p8BcA_4_4"/>
      <w:bookmarkStart w:id="800" w:name="Tc_9NWGPAHoMEyvV0damTK2cA_4_2"/>
      <w:bookmarkStart w:id="801" w:name="Tc_sx6QJjJLfEa8QcwZTEe7Vw_3_16"/>
      <w:bookmarkStart w:id="802" w:name="Tc_HpiZczDIiUyr4nqbx8ix8Q_3_13"/>
      <w:bookmarkStart w:id="803" w:name="Tc_N7-ZB29EIUm5R1XsNs1I7w_3_10"/>
      <w:bookmarkStart w:id="804" w:name="Tc_3Lfy_5Wyu022uY_YQFINbA_3_7"/>
      <w:bookmarkStart w:id="805" w:name="Tc_qKT-FF17wUOLZCbskSO6gw_3_2"/>
      <w:bookmarkStart w:id="806" w:name="Tc_8Cdr7tSnd06RBRSYUKOkpg_3_0"/>
      <w:bookmarkStart w:id="807" w:name="Tc_p7q7MgFRGEiicqSnTcQaOg_2_16"/>
      <w:bookmarkStart w:id="808" w:name="Tc_xXzl5JXpCUaowc6e0afp9Q_2_10"/>
      <w:bookmarkStart w:id="809" w:name="Tc_3ffoq49uYk6kwIWW_zidug_2_7"/>
      <w:bookmarkStart w:id="810" w:name="Tc_BAHlJQt97UGdeU0egSzZoQ_1_10"/>
      <w:bookmarkStart w:id="811" w:name="_ae11f200_6fcd_4d21_a59b_739e81c154a3"/>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tbl>
      <w:tblPr>
        <w:tblW w:w="10205" w:type="dxa"/>
        <w:jc w:val="left"/>
        <w:tblInd w:w="0" w:type="dxa"/>
        <w:tblLayout w:type="fixed"/>
        <w:tblCellMar>
          <w:top w:w="0" w:type="dxa"/>
          <w:left w:w="0" w:type="dxa"/>
          <w:bottom w:w="0" w:type="dxa"/>
          <w:right w:w="0" w:type="dxa"/>
        </w:tblCellMar>
      </w:tblPr>
      <w:tblGrid>
        <w:gridCol w:w="2769"/>
        <w:gridCol w:w="346"/>
        <w:gridCol w:w="796"/>
        <w:gridCol w:w="346"/>
        <w:gridCol w:w="216"/>
        <w:gridCol w:w="415"/>
        <w:gridCol w:w="346"/>
        <w:gridCol w:w="181"/>
        <w:gridCol w:w="721"/>
        <w:gridCol w:w="346"/>
        <w:gridCol w:w="252"/>
        <w:gridCol w:w="799"/>
        <w:gridCol w:w="346"/>
        <w:gridCol w:w="181"/>
        <w:gridCol w:w="786"/>
        <w:gridCol w:w="346"/>
        <w:gridCol w:w="181"/>
        <w:gridCol w:w="832"/>
      </w:tblGrid>
      <w:tr>
        <w:trPr/>
        <w:tc>
          <w:tcPr>
            <w:tcW w:w="2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58315" cy="175260"/>
                      <wp:effectExtent l="0" t="0" r="0" b="0"/>
                      <wp:wrapNone/>
                      <wp:docPr id="91" name="Frame91"/>
                      <a:graphic xmlns:a="http://schemas.openxmlformats.org/drawingml/2006/main">
                        <a:graphicData uri="http://schemas.microsoft.com/office/word/2010/wordprocessingShape">
                          <wps:wsp>
                            <wps:cNvSpPr txBox="1"/>
                            <wps:spPr>
                              <a:xfrm>
                                <a:off x="0" y="0"/>
                                <a:ext cx="175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93"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7160" cy="175260"/>
                      <wp:effectExtent l="0" t="0" r="0" b="0"/>
                      <wp:wrapNone/>
                      <wp:docPr id="95" name="Frame9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3525" cy="175260"/>
                      <wp:effectExtent l="0" t="0" r="0" b="0"/>
                      <wp:wrapNone/>
                      <wp:docPr id="96" name="Frame9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7835" cy="175260"/>
                      <wp:effectExtent l="0" t="0" r="0" b="0"/>
                      <wp:wrapNone/>
                      <wp:docPr id="99" name="Frame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0020" cy="175260"/>
                      <wp:effectExtent l="0" t="0" r="0" b="0"/>
                      <wp:wrapNone/>
                      <wp:docPr id="101" name="Frame10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7365" cy="175260"/>
                      <wp:effectExtent l="0" t="0" r="0" b="0"/>
                      <wp:wrapNone/>
                      <wp:docPr id="102" name="Frame102"/>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4935" cy="175260"/>
                      <wp:effectExtent l="0" t="0" r="0" b="0"/>
                      <wp:wrapNone/>
                      <wp:docPr id="104" name="Frame1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9110" cy="175260"/>
                      <wp:effectExtent l="0" t="0" r="0" b="0"/>
                      <wp:wrapNone/>
                      <wp:docPr id="105" name="Frame10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4935" cy="175260"/>
                      <wp:effectExtent l="0" t="0" r="0" b="0"/>
                      <wp:wrapNone/>
                      <wp:docPr id="107" name="Frame1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28320" cy="175260"/>
                      <wp:effectExtent l="0" t="0" r="0" b="0"/>
                      <wp:wrapNone/>
                      <wp:docPr id="108" name="Frame108"/>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r>
      <w:tr>
        <w:trPr/>
        <w:tc>
          <w:tcPr>
            <w:tcW w:w="2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13"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769"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2025</w:t>
            </w:r>
          </w:p>
        </w:tc>
        <w:tc>
          <w:tcPr>
            <w:tcW w:w="346" w:type="dxa"/>
            <w:tcBorders/>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013"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 income</w:t>
            </w:r>
          </w:p>
        </w:tc>
        <w:tc>
          <w:tcPr>
            <w:tcW w:w="346"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77,704,188</w:t>
            </w:r>
          </w:p>
        </w:tc>
        <w:tc>
          <w:tcPr>
            <w:tcW w:w="346" w:type="dxa"/>
            <w:tcBorders/>
            <w:shd w:fill="CCEEFF" w:val="clear"/>
            <w:vAlign w:val="center"/>
          </w:tcPr>
          <w:p>
            <w:pPr>
              <w:pStyle w:val="TableContents"/>
              <w:bidi w:val="0"/>
              <w:spacing w:before="0" w:after="0"/>
              <w:ind w:left="0" w:right="0" w:hanging="0"/>
              <w:jc w:val="left"/>
              <w:rPr/>
            </w:pPr>
            <w:r>
              <w:rPr/>
              <w:t>  ​ ​ ​</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2,574,611</w:t>
            </w:r>
          </w:p>
        </w:tc>
        <w:tc>
          <w:tcPr>
            <w:tcW w:w="346" w:type="dxa"/>
            <w:tcBorders/>
            <w:shd w:fill="CCEEFF" w:val="clear"/>
            <w:vAlign w:val="center"/>
          </w:tcPr>
          <w:p>
            <w:pPr>
              <w:pStyle w:val="TableContents"/>
              <w:bidi w:val="0"/>
              <w:spacing w:before="0" w:after="0"/>
              <w:ind w:left="0" w:right="0" w:hanging="0"/>
              <w:jc w:val="left"/>
              <w:rPr/>
            </w:pPr>
            <w:r>
              <w:rPr/>
              <w:t>  ​ ​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(25,886)</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(3,646,873)</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(1,098,071)</w:t>
            </w:r>
          </w:p>
        </w:tc>
      </w:tr>
      <w:tr>
        <w:trPr/>
        <w:tc>
          <w:tcPr>
            <w:tcW w:w="276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467,285</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16,885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16,885</w:t>
            </w:r>
          </w:p>
        </w:tc>
      </w:tr>
      <w:tr>
        <w:trP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1,134,189</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276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72,483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2,827</w:t>
            </w:r>
          </w:p>
        </w:tc>
      </w:tr>
      <w:tr>
        <w:trP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36,603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36,603</w:t>
            </w:r>
          </w:p>
        </w:tc>
      </w:tr>
      <w:tr>
        <w:trPr/>
        <w:tc>
          <w:tcPr>
            <w:tcW w:w="276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Receivable from investor</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r>
      <w:tr>
        <w:trP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801,713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801,713</w:t>
            </w:r>
          </w:p>
        </w:tc>
      </w:tr>
      <w:tr>
        <w:trPr/>
        <w:tc>
          <w:tcPr>
            <w:tcW w:w="276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income</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33,242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33,242</w:t>
            </w:r>
          </w:p>
        </w:tc>
      </w:tr>
      <w:tr>
        <w:trP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79,378,145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2,631,180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(2,845,160)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(206,546)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8"/>
        </w:rPr>
      </w:pPr>
      <w:bookmarkStart w:id="812" w:name="_60c5ec8e_6ee1_4bd9_992b_c18a89cc2b52"/>
      <w:bookmarkEnd w:id="812"/>
      <w:r>
        <w:rPr>
          <w:rFonts w:ascii="Times New Roman;Times;serif" w:hAnsi="Times New Roman;Times;serif"/>
          <w:b/>
          <w:sz w:val="18"/>
        </w:rPr>
        <w:t>PTC Therapeutics, Inc.</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Statements of Cash Flows (unaudited)</w:t>
      </w:r>
    </w:p>
    <w:p>
      <w:pPr>
        <w:pStyle w:val="TextBody"/>
        <w:bidi w:val="0"/>
        <w:spacing w:before="0" w:after="240"/>
        <w:ind w:left="0" w:right="0" w:hanging="0"/>
        <w:jc w:val="both"/>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813" w:name="Tc_NJeuisNE_0ubCgvJeAZYIA_69_0"/>
      <w:bookmarkStart w:id="814" w:name="Tc_Hj0L7KzhrEiYwSwGGH89LA_68_6"/>
      <w:bookmarkStart w:id="815" w:name="Tc_cFsdrZhgQUy5OwMqoYGw7g_68_0"/>
      <w:bookmarkStart w:id="816" w:name="Tc_flAUBCtYo0u77xDmlN58rQ_67_6"/>
      <w:bookmarkStart w:id="817" w:name="Tc_MGmSUQtTgECY2ctnxDX_3Q_67_0"/>
      <w:bookmarkStart w:id="818" w:name="Tc_tQmzoXHo3U6HrtR5S7ArfA_66_3"/>
      <w:bookmarkStart w:id="819" w:name="Tc_GVcqAKdbQEmBrPzEM4bmNA_66_0"/>
      <w:bookmarkStart w:id="820" w:name="Tc_m8BtZzF1M0-068Rl_RCE9A_65_0"/>
      <w:bookmarkStart w:id="821" w:name="Tc_OE9Q9VJZJU-nJ73h6fv21w_64_6"/>
      <w:bookmarkStart w:id="822" w:name="Tc_gbl9SyoUl0CYj6NAvg_LCA_64_0"/>
      <w:bookmarkStart w:id="823" w:name="Tc_lcsRwfHQxUWLn3Jhjs956w_63_6"/>
      <w:bookmarkStart w:id="824" w:name="Tc_dPFeOTEOF0KreboOLO29_Q_63_0"/>
      <w:bookmarkStart w:id="825" w:name="Tc_p6ZhJ99qJUa0wsEFlIVMnw_62_3"/>
      <w:bookmarkStart w:id="826" w:name="Tc_O-ohjZcuuEeerNxCkze_cw_62_0"/>
      <w:bookmarkStart w:id="827" w:name="Tc_KMbLWO2Fe0iu77XznY8eRg_61_5"/>
      <w:bookmarkStart w:id="828" w:name="Tc_yPgXazyrRkCwhOyEcsyLyQ_61_2"/>
      <w:bookmarkStart w:id="829" w:name="Tc_n45wvthjWU-jdSDXFG2FcA_61_0"/>
      <w:bookmarkStart w:id="830" w:name="Tc_GzcKTpyPykmBoYk-2Yn7uQ_60_0"/>
      <w:bookmarkStart w:id="831" w:name="Tc_K0xaB6toLEu9ScqUoDtyxA_59_5"/>
      <w:bookmarkStart w:id="832" w:name="Tc_YGB3xRh1sEGHdKlD3vVqqg_59_2"/>
      <w:bookmarkStart w:id="833" w:name="Tc_q5R7dyGLXkyi856jaYEzgA_59_0"/>
      <w:bookmarkStart w:id="834" w:name="Tc_sHk2mo9HGEqhuriDOH1oeg_58_0"/>
      <w:bookmarkStart w:id="835" w:name="Tc_2UWEnPKXdkK4h5wDiUET-w_57_0"/>
      <w:bookmarkStart w:id="836" w:name="Tc_uuDJQlAVwESMUCmIS53D-Q_56_0"/>
      <w:bookmarkStart w:id="837" w:name="Tc_3zkcFO6iykiebMnzI8D6qQ_55_0"/>
      <w:bookmarkStart w:id="838" w:name="Tc_v3C-6-6DAEiB2rh0QgdZ7w_54_0"/>
      <w:bookmarkStart w:id="839" w:name="Tc_p6rKOmW-WEOXkwE83txFDw_53_3"/>
      <w:bookmarkStart w:id="840" w:name="Tc_v3IWcaGziUSSIDwwftB45Q_53_0"/>
      <w:bookmarkStart w:id="841" w:name="Tc_C2uYSchoCEaow2TBwbS3tg_52_0"/>
      <w:bookmarkStart w:id="842" w:name="Tc_oRsXQcaoBkC_boHB7UzdKg_51_5"/>
      <w:bookmarkStart w:id="843" w:name="Tc_AAtfWYKy9EOOPi_jaQXzPg_51_2"/>
      <w:bookmarkStart w:id="844" w:name="Tc_4KkQe8VK_kmS_rVx_Iad4Q_51_0"/>
      <w:bookmarkStart w:id="845" w:name="Tc_T9bnwZ-lFUKDKV_XKqwzrg_50_0"/>
      <w:bookmarkStart w:id="846" w:name="Tc_kzSweRwmEkarETv0EQl-qw_49_5"/>
      <w:bookmarkStart w:id="847" w:name="Tc_pJV4WPbCTEe-VV3EkKz7Pw_49_2"/>
      <w:bookmarkStart w:id="848" w:name="Tc_hkZlm1OkDUCJWzoRNaWj0A_49_0"/>
      <w:bookmarkStart w:id="849" w:name="Tc_BSEfUDZcoUa7nF3Y0huHIw_48_0"/>
      <w:bookmarkStart w:id="850" w:name="Tc_4SvuaLkM-UmicvyiAmA21Q_47_0"/>
      <w:bookmarkStart w:id="851" w:name="Tc_zLTE2--b60u5OvfoBqEH7g_46_0"/>
      <w:bookmarkStart w:id="852" w:name="Tc_uVaqH-VFHEK5KMRKQuCouw_45_5"/>
      <w:bookmarkStart w:id="853" w:name="Tc_W7k9z3wK3EGPordG9sfQxQ_45_2"/>
      <w:bookmarkStart w:id="854" w:name="Tc_iIkbgLaIMUuRUdK4P6tvfw_45_0"/>
      <w:bookmarkStart w:id="855" w:name="Tc_uOKU6_elJUm95eZEY5cw1g_44_3"/>
      <w:bookmarkStart w:id="856" w:name="Tc_Vr_UbVWFaU6plb1qAsDzAA_44_0"/>
      <w:bookmarkStart w:id="857" w:name="Tc_Oy8AvwueQky7KPgEMS1y5w_43_6"/>
      <w:bookmarkStart w:id="858" w:name="Tc_EI4Wv8ryaUys1299UTBHrw_43_0"/>
      <w:bookmarkStart w:id="859" w:name="Tc_RtSK9zxX3k-EkaB8qwy6fA_42_6"/>
      <w:bookmarkStart w:id="860" w:name="Tc_VxLHVraN1kG6USAGp-9cjQ_42_0"/>
      <w:bookmarkStart w:id="861" w:name="Tc_MIXz8PSnPkelnfPzAYta6g_41_6"/>
      <w:bookmarkStart w:id="862" w:name="Tc_x-2TSavJ4EmJjfwFkhJnGA_41_0"/>
      <w:bookmarkStart w:id="863" w:name="Tc_kPJQ93rQVkiZO6pImxH9Ow_40_6"/>
      <w:bookmarkStart w:id="864" w:name="Tc_weqDH8NcL0yAYTPMLhpBag_40_0"/>
      <w:bookmarkStart w:id="865" w:name="Tc_AdTKzmhJ3E2utSC1_nx6WA_39_0"/>
      <w:bookmarkStart w:id="866" w:name="Tc_HjDHSCJJiUaeknRxnj8L4w_38_5"/>
      <w:bookmarkStart w:id="867" w:name="Tc_VnUkNNMYmUGQGghOgR96Tg_38_2"/>
      <w:bookmarkStart w:id="868" w:name="Tc_woOBOIW9kkG2bS34AHWk0w_38_0"/>
      <w:bookmarkStart w:id="869" w:name="Tc_gwZKnXF2v0OXMBP1PREMmg_37_0"/>
      <w:bookmarkStart w:id="870" w:name="Tc_Y7cENfIXjE-mp2nwYq4leg_36_5"/>
      <w:bookmarkStart w:id="871" w:name="Tc_W8A1JajeAEOu70wxTiW2kA_36_2"/>
      <w:bookmarkStart w:id="872" w:name="Tc_C93sDqI0gUO7fDTVYpGvbQ_36_0"/>
      <w:bookmarkStart w:id="873" w:name="Tc_5c2Ac1o8506k3OuleuVpYA_35_0"/>
      <w:bookmarkStart w:id="874" w:name="Tc_asu5FIkxqUesvjurz5CI4g_34_0"/>
      <w:bookmarkStart w:id="875" w:name="Tc_gmRWhu4euUiVuCHi_OA7NQ_33_0"/>
      <w:bookmarkStart w:id="876" w:name="Tc_tQLU9bungkekGUxJaDcuIQ_32_0"/>
      <w:bookmarkStart w:id="877" w:name="Tc_x2Imm1Bw5EmjMtgEWlXboQ_31_0"/>
      <w:bookmarkStart w:id="878" w:name="Tc_YDmslvZj4027wP4ZouyIcQ_30_5"/>
      <w:bookmarkStart w:id="879" w:name="Tc_a-J3q-kf1U2mZkV3iQcD0Q_30_2"/>
      <w:bookmarkStart w:id="880" w:name="Tc_If_9NkdpXEu3RgdjvaTlcg_30_0"/>
      <w:bookmarkStart w:id="881" w:name="Tc_KabTOCDkBUCXdo-q3Gs8IQ_29_0"/>
      <w:bookmarkStart w:id="882" w:name="Tc_5MouDiQJJUiigaC-r0-CNQ_28_5"/>
      <w:bookmarkStart w:id="883" w:name="Tc_Nlv_V8oLnUW02qIFP_bT6Q_28_2"/>
      <w:bookmarkStart w:id="884" w:name="Tc_35CXK75JkUOdDsCDeUfqyg_28_0"/>
      <w:bookmarkStart w:id="885" w:name="Tc_uTSugC9RsUS1dEwp--Yyew_27_3"/>
      <w:bookmarkStart w:id="886" w:name="Tc_EzoS7dq3Y0KZcg89Z_rg3Q_27_0"/>
      <w:bookmarkStart w:id="887" w:name="Tc_KYWkiDv8jk6SlAxfnaetdA_26_0"/>
      <w:bookmarkStart w:id="888" w:name="Tc_PszB2HAhO0eUvGbXcwK9_w_25_0"/>
      <w:bookmarkStart w:id="889" w:name="Tc_gLsWcOgZ_kmNHFjUin2nig_24_0"/>
      <w:bookmarkStart w:id="890" w:name="Tc_w6PfVxVtF0yUS003cKnSEw_23_0"/>
      <w:bookmarkStart w:id="891" w:name="Tc_pQ0TRy0XbUWd1ElC4lKGDg_22_0"/>
      <w:bookmarkStart w:id="892" w:name="Tc_g1jEaSgZQUiqnGhGBC7yaA_21_0"/>
      <w:bookmarkStart w:id="893" w:name="Tc_-xNxSRl72kKimV2RZtmM7A_20_0"/>
      <w:bookmarkStart w:id="894" w:name="Tc_i47GG7iqi0W7ZOITjNRFZw_19_0"/>
      <w:bookmarkStart w:id="895" w:name="Tc_03saiDg5iES0o64JDA4cZg_18_0"/>
      <w:bookmarkStart w:id="896" w:name="Tc_pk6vBEAgX0-nyCRJlgQJlw_17_0"/>
      <w:bookmarkStart w:id="897" w:name="Tc_Wt8t_B5h80ePd4yzTZrUJQ_16_0"/>
      <w:bookmarkStart w:id="898" w:name="Tc_eG2ygZE2cUy3Ups5lcBcZQ_15_0"/>
      <w:bookmarkStart w:id="899" w:name="Tc_2BJWgcxsNEytqU6SxiFfSA_14_0"/>
      <w:bookmarkStart w:id="900" w:name="Tc_AKnG9x2aqEewj3IPKT0JJA_13_3"/>
      <w:bookmarkStart w:id="901" w:name="Tc_G-aLej5CEEmXNaJf-Lae8A_13_0"/>
      <w:bookmarkStart w:id="902" w:name="Tc_MqdklV2Lp0q3B1ssAvMxfQ_12_6"/>
      <w:bookmarkStart w:id="903" w:name="Tc_pPSNjJlRLk6ZmOGnrPzfhA_12_0"/>
      <w:bookmarkStart w:id="904" w:name="Tc_cegDQDnbYU6DM8iVPaCq0Q_11_0"/>
      <w:bookmarkStart w:id="905" w:name="Tc_IIvinz0QjEGCofziNP6wKg_10_3"/>
      <w:bookmarkStart w:id="906" w:name="Tc_5XqZe2Qo3U-_dW5rS7A2yA_10_0"/>
      <w:bookmarkStart w:id="907" w:name="Tc_br6aDmaIukK3_-y1l9BRbw_9_0"/>
      <w:bookmarkStart w:id="908" w:name="Tc_6mLz9HDJ-0yJ5m3xzmbEwA_8_0"/>
      <w:bookmarkStart w:id="909" w:name="Tc_IeF0SB1dAkCu8E7V9qt-fg_7_0"/>
      <w:bookmarkStart w:id="910" w:name="Tc_x5_CqVzq8kGXd6i4uDVFeg_6_0"/>
      <w:bookmarkStart w:id="911" w:name="Tc_Xd5XkUpItUy1UdxL0hu_KA_5_0"/>
      <w:bookmarkStart w:id="912" w:name="Tc_njcc17A_G06MUpQgEfjRng_4_5"/>
      <w:bookmarkStart w:id="913" w:name="Tc_uMzu7A_zVU-qzBpqVGIUWA_4_2"/>
      <w:bookmarkStart w:id="914" w:name="Tc_YwfXj01S-020-bfnw5qXlQ_4_0"/>
      <w:bookmarkStart w:id="915" w:name="Tc_jDQPdt9DKEiRwAc9Fta4iw_3_0"/>
      <w:bookmarkStart w:id="916" w:name="Tc_s-FpCc6yqka7BIh2lZwZnQ_2_5"/>
      <w:bookmarkStart w:id="917" w:name="Tc_Me56oWfYq0q8abbk7Cxppg_2_2"/>
      <w:bookmarkStart w:id="918" w:name="Tc_zJtoetB-d0mXKkFWwRkAEQ_1_2"/>
      <w:bookmarkStart w:id="919" w:name="_5ae8736e_c518_4ceb_b507_fe6f196996bc"/>
      <w:bookmarkStart w:id="920" w:name="Tc_NJeuisNE_0ubCgvJeAZYIA_69_0"/>
      <w:bookmarkStart w:id="921" w:name="Tc_Hj0L7KzhrEiYwSwGGH89LA_68_6"/>
      <w:bookmarkStart w:id="922" w:name="Tc_cFsdrZhgQUy5OwMqoYGw7g_68_0"/>
      <w:bookmarkStart w:id="923" w:name="Tc_flAUBCtYo0u77xDmlN58rQ_67_6"/>
      <w:bookmarkStart w:id="924" w:name="Tc_MGmSUQtTgECY2ctnxDX_3Q_67_0"/>
      <w:bookmarkStart w:id="925" w:name="Tc_tQmzoXHo3U6HrtR5S7ArfA_66_3"/>
      <w:bookmarkStart w:id="926" w:name="Tc_GVcqAKdbQEmBrPzEM4bmNA_66_0"/>
      <w:bookmarkStart w:id="927" w:name="Tc_m8BtZzF1M0-068Rl_RCE9A_65_0"/>
      <w:bookmarkStart w:id="928" w:name="Tc_OE9Q9VJZJU-nJ73h6fv21w_64_6"/>
      <w:bookmarkStart w:id="929" w:name="Tc_gbl9SyoUl0CYj6NAvg_LCA_64_0"/>
      <w:bookmarkStart w:id="930" w:name="Tc_lcsRwfHQxUWLn3Jhjs956w_63_6"/>
      <w:bookmarkStart w:id="931" w:name="Tc_dPFeOTEOF0KreboOLO29_Q_63_0"/>
      <w:bookmarkStart w:id="932" w:name="Tc_p6ZhJ99qJUa0wsEFlIVMnw_62_3"/>
      <w:bookmarkStart w:id="933" w:name="Tc_O-ohjZcuuEeerNxCkze_cw_62_0"/>
      <w:bookmarkStart w:id="934" w:name="Tc_KMbLWO2Fe0iu77XznY8eRg_61_5"/>
      <w:bookmarkStart w:id="935" w:name="Tc_yPgXazyrRkCwhOyEcsyLyQ_61_2"/>
      <w:bookmarkStart w:id="936" w:name="Tc_n45wvthjWU-jdSDXFG2FcA_61_0"/>
      <w:bookmarkStart w:id="937" w:name="Tc_GzcKTpyPykmBoYk-2Yn7uQ_60_0"/>
      <w:bookmarkStart w:id="938" w:name="Tc_K0xaB6toLEu9ScqUoDtyxA_59_5"/>
      <w:bookmarkStart w:id="939" w:name="Tc_YGB3xRh1sEGHdKlD3vVqqg_59_2"/>
      <w:bookmarkStart w:id="940" w:name="Tc_q5R7dyGLXkyi856jaYEzgA_59_0"/>
      <w:bookmarkStart w:id="941" w:name="Tc_sHk2mo9HGEqhuriDOH1oeg_58_0"/>
      <w:bookmarkStart w:id="942" w:name="Tc_2UWEnPKXdkK4h5wDiUET-w_57_0"/>
      <w:bookmarkStart w:id="943" w:name="Tc_uuDJQlAVwESMUCmIS53D-Q_56_0"/>
      <w:bookmarkStart w:id="944" w:name="Tc_3zkcFO6iykiebMnzI8D6qQ_55_0"/>
      <w:bookmarkStart w:id="945" w:name="Tc_v3C-6-6DAEiB2rh0QgdZ7w_54_0"/>
      <w:bookmarkStart w:id="946" w:name="Tc_p6rKOmW-WEOXkwE83txFDw_53_3"/>
      <w:bookmarkStart w:id="947" w:name="Tc_v3IWcaGziUSSIDwwftB45Q_53_0"/>
      <w:bookmarkStart w:id="948" w:name="Tc_C2uYSchoCEaow2TBwbS3tg_52_0"/>
      <w:bookmarkStart w:id="949" w:name="Tc_oRsXQcaoBkC_boHB7UzdKg_51_5"/>
      <w:bookmarkStart w:id="950" w:name="Tc_AAtfWYKy9EOOPi_jaQXzPg_51_2"/>
      <w:bookmarkStart w:id="951" w:name="Tc_4KkQe8VK_kmS_rVx_Iad4Q_51_0"/>
      <w:bookmarkStart w:id="952" w:name="Tc_T9bnwZ-lFUKDKV_XKqwzrg_50_0"/>
      <w:bookmarkStart w:id="953" w:name="Tc_kzSweRwmEkarETv0EQl-qw_49_5"/>
      <w:bookmarkStart w:id="954" w:name="Tc_pJV4WPbCTEe-VV3EkKz7Pw_49_2"/>
      <w:bookmarkStart w:id="955" w:name="Tc_hkZlm1OkDUCJWzoRNaWj0A_49_0"/>
      <w:bookmarkStart w:id="956" w:name="Tc_BSEfUDZcoUa7nF3Y0huHIw_48_0"/>
      <w:bookmarkStart w:id="957" w:name="Tc_4SvuaLkM-UmicvyiAmA21Q_47_0"/>
      <w:bookmarkStart w:id="958" w:name="Tc_zLTE2--b60u5OvfoBqEH7g_46_0"/>
      <w:bookmarkStart w:id="959" w:name="Tc_uVaqH-VFHEK5KMRKQuCouw_45_5"/>
      <w:bookmarkStart w:id="960" w:name="Tc_W7k9z3wK3EGPordG9sfQxQ_45_2"/>
      <w:bookmarkStart w:id="961" w:name="Tc_iIkbgLaIMUuRUdK4P6tvfw_45_0"/>
      <w:bookmarkStart w:id="962" w:name="Tc_uOKU6_elJUm95eZEY5cw1g_44_3"/>
      <w:bookmarkStart w:id="963" w:name="Tc_Vr_UbVWFaU6plb1qAsDzAA_44_0"/>
      <w:bookmarkStart w:id="964" w:name="Tc_Oy8AvwueQky7KPgEMS1y5w_43_6"/>
      <w:bookmarkStart w:id="965" w:name="Tc_EI4Wv8ryaUys1299UTBHrw_43_0"/>
      <w:bookmarkStart w:id="966" w:name="Tc_RtSK9zxX3k-EkaB8qwy6fA_42_6"/>
      <w:bookmarkStart w:id="967" w:name="Tc_VxLHVraN1kG6USAGp-9cjQ_42_0"/>
      <w:bookmarkStart w:id="968" w:name="Tc_MIXz8PSnPkelnfPzAYta6g_41_6"/>
      <w:bookmarkStart w:id="969" w:name="Tc_x-2TSavJ4EmJjfwFkhJnGA_41_0"/>
      <w:bookmarkStart w:id="970" w:name="Tc_kPJQ93rQVkiZO6pImxH9Ow_40_6"/>
      <w:bookmarkStart w:id="971" w:name="Tc_weqDH8NcL0yAYTPMLhpBag_40_0"/>
      <w:bookmarkStart w:id="972" w:name="Tc_AdTKzmhJ3E2utSC1_nx6WA_39_0"/>
      <w:bookmarkStart w:id="973" w:name="Tc_HjDHSCJJiUaeknRxnj8L4w_38_5"/>
      <w:bookmarkStart w:id="974" w:name="Tc_VnUkNNMYmUGQGghOgR96Tg_38_2"/>
      <w:bookmarkStart w:id="975" w:name="Tc_woOBOIW9kkG2bS34AHWk0w_38_0"/>
      <w:bookmarkStart w:id="976" w:name="Tc_gwZKnXF2v0OXMBP1PREMmg_37_0"/>
      <w:bookmarkStart w:id="977" w:name="Tc_Y7cENfIXjE-mp2nwYq4leg_36_5"/>
      <w:bookmarkStart w:id="978" w:name="Tc_W8A1JajeAEOu70wxTiW2kA_36_2"/>
      <w:bookmarkStart w:id="979" w:name="Tc_C93sDqI0gUO7fDTVYpGvbQ_36_0"/>
      <w:bookmarkStart w:id="980" w:name="Tc_5c2Ac1o8506k3OuleuVpYA_35_0"/>
      <w:bookmarkStart w:id="981" w:name="Tc_asu5FIkxqUesvjurz5CI4g_34_0"/>
      <w:bookmarkStart w:id="982" w:name="Tc_gmRWhu4euUiVuCHi_OA7NQ_33_0"/>
      <w:bookmarkStart w:id="983" w:name="Tc_tQLU9bungkekGUxJaDcuIQ_32_0"/>
      <w:bookmarkStart w:id="984" w:name="Tc_x2Imm1Bw5EmjMtgEWlXboQ_31_0"/>
      <w:bookmarkStart w:id="985" w:name="Tc_YDmslvZj4027wP4ZouyIcQ_30_5"/>
      <w:bookmarkStart w:id="986" w:name="Tc_a-J3q-kf1U2mZkV3iQcD0Q_30_2"/>
      <w:bookmarkStart w:id="987" w:name="Tc_If_9NkdpXEu3RgdjvaTlcg_30_0"/>
      <w:bookmarkStart w:id="988" w:name="Tc_KabTOCDkBUCXdo-q3Gs8IQ_29_0"/>
      <w:bookmarkStart w:id="989" w:name="Tc_5MouDiQJJUiigaC-r0-CNQ_28_5"/>
      <w:bookmarkStart w:id="990" w:name="Tc_Nlv_V8oLnUW02qIFP_bT6Q_28_2"/>
      <w:bookmarkStart w:id="991" w:name="Tc_35CXK75JkUOdDsCDeUfqyg_28_0"/>
      <w:bookmarkStart w:id="992" w:name="Tc_uTSugC9RsUS1dEwp--Yyew_27_3"/>
      <w:bookmarkStart w:id="993" w:name="Tc_EzoS7dq3Y0KZcg89Z_rg3Q_27_0"/>
      <w:bookmarkStart w:id="994" w:name="Tc_KYWkiDv8jk6SlAxfnaetdA_26_0"/>
      <w:bookmarkStart w:id="995" w:name="Tc_PszB2HAhO0eUvGbXcwK9_w_25_0"/>
      <w:bookmarkStart w:id="996" w:name="Tc_gLsWcOgZ_kmNHFjUin2nig_24_0"/>
      <w:bookmarkStart w:id="997" w:name="Tc_w6PfVxVtF0yUS003cKnSEw_23_0"/>
      <w:bookmarkStart w:id="998" w:name="Tc_pQ0TRy0XbUWd1ElC4lKGDg_22_0"/>
      <w:bookmarkStart w:id="999" w:name="Tc_g1jEaSgZQUiqnGhGBC7yaA_21_0"/>
      <w:bookmarkStart w:id="1000" w:name="Tc_-xNxSRl72kKimV2RZtmM7A_20_0"/>
      <w:bookmarkStart w:id="1001" w:name="Tc_i47GG7iqi0W7ZOITjNRFZw_19_0"/>
      <w:bookmarkStart w:id="1002" w:name="Tc_03saiDg5iES0o64JDA4cZg_18_0"/>
      <w:bookmarkStart w:id="1003" w:name="Tc_pk6vBEAgX0-nyCRJlgQJlw_17_0"/>
      <w:bookmarkStart w:id="1004" w:name="Tc_Wt8t_B5h80ePd4yzTZrUJQ_16_0"/>
      <w:bookmarkStart w:id="1005" w:name="Tc_eG2ygZE2cUy3Ups5lcBcZQ_15_0"/>
      <w:bookmarkStart w:id="1006" w:name="Tc_2BJWgcxsNEytqU6SxiFfSA_14_0"/>
      <w:bookmarkStart w:id="1007" w:name="Tc_AKnG9x2aqEewj3IPKT0JJA_13_3"/>
      <w:bookmarkStart w:id="1008" w:name="Tc_G-aLej5CEEmXNaJf-Lae8A_13_0"/>
      <w:bookmarkStart w:id="1009" w:name="Tc_MqdklV2Lp0q3B1ssAvMxfQ_12_6"/>
      <w:bookmarkStart w:id="1010" w:name="Tc_pPSNjJlRLk6ZmOGnrPzfhA_12_0"/>
      <w:bookmarkStart w:id="1011" w:name="Tc_cegDQDnbYU6DM8iVPaCq0Q_11_0"/>
      <w:bookmarkStart w:id="1012" w:name="Tc_IIvinz0QjEGCofziNP6wKg_10_3"/>
      <w:bookmarkStart w:id="1013" w:name="Tc_5XqZe2Qo3U-_dW5rS7A2yA_10_0"/>
      <w:bookmarkStart w:id="1014" w:name="Tc_br6aDmaIukK3_-y1l9BRbw_9_0"/>
      <w:bookmarkStart w:id="1015" w:name="Tc_6mLz9HDJ-0yJ5m3xzmbEwA_8_0"/>
      <w:bookmarkStart w:id="1016" w:name="Tc_IeF0SB1dAkCu8E7V9qt-fg_7_0"/>
      <w:bookmarkStart w:id="1017" w:name="Tc_x5_CqVzq8kGXd6i4uDVFeg_6_0"/>
      <w:bookmarkStart w:id="1018" w:name="Tc_Xd5XkUpItUy1UdxL0hu_KA_5_0"/>
      <w:bookmarkStart w:id="1019" w:name="Tc_njcc17A_G06MUpQgEfjRng_4_5"/>
      <w:bookmarkStart w:id="1020" w:name="Tc_uMzu7A_zVU-qzBpqVGIUWA_4_2"/>
      <w:bookmarkStart w:id="1021" w:name="Tc_YwfXj01S-020-bfnw5qXlQ_4_0"/>
      <w:bookmarkStart w:id="1022" w:name="Tc_jDQPdt9DKEiRwAc9Fta4iw_3_0"/>
      <w:bookmarkStart w:id="1023" w:name="Tc_s-FpCc6yqka7BIh2lZwZnQ_2_5"/>
      <w:bookmarkStart w:id="1024" w:name="Tc_Me56oWfYq0q8abbk7Cxppg_2_2"/>
      <w:bookmarkStart w:id="1025" w:name="Tc_zJtoetB-d0mXKkFWwRkAEQ_1_2"/>
      <w:bookmarkStart w:id="1026" w:name="_5ae8736e_c518_4ceb_b507_fe6f196996bc"/>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tbl>
      <w:tblPr>
        <w:tblW w:w="7391" w:type="dxa"/>
        <w:jc w:val="left"/>
        <w:tblInd w:w="0" w:type="dxa"/>
        <w:tblLayout w:type="fixed"/>
        <w:tblCellMar>
          <w:top w:w="0" w:type="dxa"/>
          <w:left w:w="0" w:type="dxa"/>
          <w:bottom w:w="0" w:type="dxa"/>
          <w:right w:w="0" w:type="dxa"/>
        </w:tblCellMar>
      </w:tblPr>
      <w:tblGrid>
        <w:gridCol w:w="4801"/>
        <w:gridCol w:w="346"/>
        <w:gridCol w:w="181"/>
        <w:gridCol w:w="691"/>
        <w:gridCol w:w="346"/>
        <w:gridCol w:w="181"/>
        <w:gridCol w:w="691"/>
        <w:gridCol w:w="154"/>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048635" cy="175260"/>
                      <wp:effectExtent l="0" t="0" r="0" b="0"/>
                      <wp:wrapNone/>
                      <wp:docPr id="109" name="Frame109"/>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4935" cy="175260"/>
                      <wp:effectExtent l="0" t="0" r="0" b="0"/>
                      <wp:wrapNone/>
                      <wp:docPr id="111" name="Frame1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785" cy="175260"/>
                      <wp:effectExtent l="0" t="0" r="0" b="0"/>
                      <wp:wrapNone/>
                      <wp:docPr id="112" name="Frame1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14935" cy="175260"/>
                      <wp:effectExtent l="0" t="0" r="0" b="0"/>
                      <wp:wrapNone/>
                      <wp:docPr id="114" name="Frame1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8785" cy="175260"/>
                      <wp:effectExtent l="0" t="0" r="0" b="0"/>
                      <wp:wrapNone/>
                      <wp:docPr id="115" name="Frame1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2025</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income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80,687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801,713</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31,287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14,804</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Non-cash operating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3,553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3,634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Non-cash royalty revenue related to sale of future royalties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(117,940)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(85,099)</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Non-cash interest expense on liability related to sale of future royalties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131,008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99,329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 in valuation of contingent consideration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(800)</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Tangible asset impairment and losses on transactions,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927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Inducement expense related to repurchase of 2026 Convertible Notes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3,386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loss on ClearPoint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3,078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gain on marketable securities - equity investments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(1,914)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(1,538)</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Amortization of discounts on investments,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(8,270)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(6,869)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46,712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36,603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foreign currency transaction losses,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4,939</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Inventory,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(13,217)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(8,591)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(12,197)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Trade and royalty receivables,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(60,118)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(25,891)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Deposits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(827)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(31,213)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6,864</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(17,320)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revenue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(804)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3,845</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Payments on contingent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(4,684)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70,071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811,770</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Purchases of fixed assets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(2,971)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Purchases of marketable securities- available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(921,643)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(847,164)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Purchases of marketable securities- equity investments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(32,976)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(17,029)</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Sale of marketable securities- available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709,325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247,151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Sale of marketable securities- equity investments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37,499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17,129</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Acquisition of product rights and licenses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(5,108)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(3,485)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(216,292)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(606,369)</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exercise of options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19,637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16,885</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2,827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Repurchase of the 2026 Convertible Notes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(327,890)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Conversion of the 2026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(12,879)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Debt issuance costs related to 2031 Convertible Notes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(13,750)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Proceeds from issuance of 2031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Payments on contingent consideration obligation</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(6,341)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218,281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13,371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Effect of exchange rate changes on cash</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(4,062)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18,981</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67,998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237,753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998,334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795,316</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1,066,332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1,033,069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Supplemental disclosure of cash information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2,156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income taxes paid, net of refunds received:</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Federal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State: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Illinois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Florida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Other State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Foreign:</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487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Total income taxes paid, net of refunds received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6,110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39,188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Supplemental disclosure of non-cash investing and financing activity</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loss on marketable securities,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Right-of-use assets obtained in exchange for operating lease obligations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850</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Decrease in right-of-use assets related to lease modifications and termination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1,466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Decrease in operating lease liabilities due to lease modifications and termination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1,547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Acquisition of product rights and licenses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4,566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2,285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Fixed asset additions through tenant improvement allowance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385</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Accrued debt issuance fees for 2031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Capital expenditures unpaid at the end of the period</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593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Milestone payable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25,150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7" w:name="_123f8883_1b74_4980_b780_70a9b029c6f2"/>
      <w:bookmarkEnd w:id="1027"/>
      <w:r>
        <w:rPr>
          <w:rFonts w:ascii="Times New Roman;Times;serif" w:hAnsi="Times New Roman;Times;serif"/>
          <w:sz w:val="20"/>
        </w:rPr>
        <w:t>PTC Therapeutics, Inc.</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(except share and per share amounts unless otherwise noted)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PTC Therapeutics, Inc. (the “Company” or “PTC”)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PTC’s strategy is to leverage its scientific expertise and global commercial infrastructure to optimize value for its patients and other stakeholders. PTC has a diversified therapeutic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developed Sephience™ (sepiapterin), a product for the treatment of phenylketonuria (“PKU”), a rare inherited metabolic disease characterized by the body’s inability to break down an essential amino acid called phenylalanine, and which can result in neurological and other symptoms. In June 2025, Sephience was granted marketing authorization by the European Commission (“EC”) for the treatment of children and adults living with PKU within the European Economic Area (“EEA”). In July 2025, Sephience was approved by the U.S. Food and Drug Administration (“FDA”) for the treatment of pediatric and adult patients living with PKU in the United States age one month and above. In December 2025, Sephience was approved by the Japanese Ministry of Health, Labor, and Welfare (“MHLW”) for the treatment of children and adults living with PKU in Japan. In February 2026, Sephience was approved by ANVISA, the Brazilian health regulatory authority, for the treatment of children and adults living with PKU in Brazil. Sephience is also approved in additional geographies.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two products, Translarna™ (ataluren) and Emflaza® (deflazacort), for the treatment of Duchenne muscular dystrophy (“DMD”), a rare, life-threatening disorder. While Translarna previously had conditional approval in the EEA, in March 2025, the EC adopted the negative opinion of the Committee for Medicinal Products for Human Use, or CHMP, of the European Medicines Agency, or EMA, to not renew the conditional marketing authorization of Translarna for the treatment of nonsense mutation Duchenne muscular dystrophy (“nmDMD”). However, the EC indicated that individual countries within the European Union, can leverage Articles 117(3) and 5(1) of the EU Directive 2001/83 to allow continued commercial use of Translarna. Translarna has marketing authorization in additional geographies outside of the EEA, but the EC adoption of the CHMP negative opinion may affect future reauthorizations. Emflaza is approved in the United States for the treatment of DMD in patients two years and 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Translarna is an investigational new drug in the United States. In 2017, the Company filed a new drug application (“NDA”) for Translarna for the treatment of nmDMD over protest with the FDA and the Office of Drug Evaluation I of the FDA issued a complete response letter for the NDA, stating that it was unable to approve the application in its current form. The Company re-submitted the NDA in July 2024 and in October 2024, the FDA accepted for review the resubmission of the NDA for Translarna for the treatment of nmDMD. Following feedback from the FDA, the Company withdrew the NDA resubmission for Translarna in February 2026. Further development of Translarna for the treatment of nmDMD in the United States is not planned.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developed Upstaza™ (eladocagene exuparvovec), a gene therapy used for the treatment of Aromatic L-Amino Acid Decarboxylase (“AADC”) deficiency (“AADC deficiency”), a rare central nervous system (“CNS”) disorder arising from reductions in the enzyme AADC that results from mutations in the dopa decarboxylase gene. In July 2022, the EC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In November 2024, the Company’s biologics license application for its gene therapy treatment of AADC deficiency was approved by the FDA. This gene therapy is marketed under the brand name Kebilidi™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28" w:name="_Int_6DjBGW06"/>
      <w:bookmarkEnd w:id="1028"/>
      <w:r>
        <w:rPr>
          <w:rFonts w:ascii="Times New Roman;Times;serif" w:hAnsi="Times New Roman;Times;serif"/>
          <w:sz w:val="20"/>
        </w:rPr>
        <w:t>The Company holds the rights for the commercialization of Tegsedi® (inotersen) and Waylivra®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In August 2021, ANVISA, the Brazilian health regulatory authority, approved Waylivra as the first treatment for familial chylomicronemia syndrome (“FCS”) in Brazil. Waylivra has also received marketing authorization in the EU for the treatment of FCS. In December 2022, ANVISA approved Waylivra for the treatment of familial partial lipodystrophy.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a spinal muscular atrophy (“SMA”) collaboration with F. Hoffman-La Roche Ltd and Hoffman-La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has also received marketing authorization for the treatment of SMA in over 100 countries. In May 2022, the FDA approved a label expansion for Evrysdi to include infants under two months old with SMA. In August 2023, the EC approved an extension of the Evrysdi marketing authorization to include infants under two months old in the EU.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the Company’s SMA program, the Company’s splicing platform also includes votoplam (PTC518), which is being developed for the treatment of Huntington’s disease (“HD”). The Company initiated a Phase 2 study of votoplam for the treatment of HD in the first quarter of 2022, which consisted of an initial 12-week placebo-controlled phase focused on safety, pharmacology and pharmacodynamic effects followed by a nine-month placebo-controlled phase focused on votoplam biomarker effect. In June 2024, the Company announced interim results from the full Phase 2 study of votoplam. At month 12, votoplam treatment demonstrated durable dose-dependent lowering of mutant HTT (“mHTT”) protein in the blood and dose-dependent lowering of mHTT protein in the cerebrospinal fluid in the interim cohort of stage 2 patients. In addition, favorable trends were demonstrated on several relevant HD clinical assessments. Furthermore, following 12 months of treatment, votoplam continued to be well tolerated. In September 2024, the FDA granted Fast Track designation to the votoplam program for the treatment of HD. In December 2024, the Company held a Type C meeting with the FDA to discuss whether huntingtin protein lowering could be considered a surrogate endpoint for accelerated approval of votoplam. The FDA was aligned on the scientific rationale and asked to see additional data supportive of an association between huntingtin protein lowering and changes in clinical outcome scores. In May 2025, the Company announced that the Phase 2 study of votoplam met its primary endpoints of blood HTT lowering and safety. The results on the full study population are consistent with the previously reported evidence of dose-dependent HTT lowering, favorable safety profile and early signals of dose-dependent clinical effect at 12 months in Stage 2 patients. In addition, at 24 months of treatment, there were continued trends of dose-dependent favorable clinical effect relative to a propensity-matched natural history cohort as well as dose-dependent Neurofilament light (“NfL”) lowering. In November 2024, the Company entered into a License and Collaboration Agreement (the “Novartis Agreement”) with Novartis Pharmaceuticals Corporation (“Novartis”), relating to its votoplam HD program which included related molecules. This transaction closed in January 2025, triggering a $1.0 billion upfront cash payment to the Company. In April 2026, Novartis announced that it had commenced the global Phase 3 clinical trial, which is expected to enroll approximately 770 individuals with early symptomatic disease, randomized </w:t>
      </w:r>
      <w:r>
        <w:rPr>
          <w:rFonts w:ascii="Times New Roman;Times;serif" w:hAnsi="Times New Roman;Times;serif"/>
          <w:b w:val="false"/>
          <w:i w:val="false"/>
          <w:caps w:val="false"/>
          <w:smallCaps w:val="false"/>
          <w:sz w:val="20"/>
        </w:rPr>
        <w:t>3</w:t>
      </w:r>
      <w:r>
        <w:rPr>
          <w:rFonts w:ascii="Times New Roman;Times;serif" w:hAnsi="Times New Roman;Times;serif"/>
          <w:sz w:val="20"/>
        </w:rPr>
        <w:t>:2 to receive votoplam 10 milligrams or placebo, and includes an interim analysis. Pursuant to the Novartis Agreement, the initiation of the Phase 3 clinical trial triggered a $50.0 million milestone payment to the Company. The $50.0 million development milestone is recorded as collaboration and license revenue for the three and six months ending June 30, 2026. Also in April 2026, the Company reported positive topline results from the 24-month interim analysis of the PIVOT-HD long-term extension study, with favorable dose-dependent effects on disease progression for Stage 2 HD patients following 24 months of votoplam treatment compared to an external natural history cohort, with 52% slowing of disease progression on the Composite Unified Huntington’s Disease Rating Scale at the 10 milligram dose level. While the Phase 3 clinical trial remains the base case for votoplam approval, Novartis and the Company are finalizing a plan to engage with FDA to discuss the 24-month results in the second half of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inflammation and ferroptosis platform consists of small molecule compounds that target oxidoreductase enzymes that regulate oxidative stress and inflammatory pathways central to the pathology of a number of CNS and non-CNS diseases. The most advanced molecule in the Company’s inflammation and ferroptosis platform is vatiquinone.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announced topline results from a registration-directed Phase 3 trial of vatiquinone in children and young adults with Friedreich’s ataxia (“FA”), called MOVE-FA, in May 2023. While the study did not meet its primary endpoint, vatiquinone treatment did demonstrate significant benefit on key disease subscales, including the upright stability subscale, as well as on other disease relevant endpoints. In October 2024, the Company announced that the pre-specified endpoint for two different FA long-term extension studies was met, with statistically significant evidence of durable treatment benefit on disease progression. In December 2024, the Company submitted an NDA to the FDA for vatiquinone for the treatment of children and adults living with FA. In February 2025, the FDA accepted for filing the NDA. In August 2025, the FDA issued a complete response letter related to the NDA stating that substantial evidence of efficacy was not demonstrated for vatiquinone and that an additional adequate and well-controlled study would be needed to support NDA resubmission. The Company met with the FDA in the fourth quarter of 2025 to discuss the vatiquinone development program, at which time the FDA suggested an additional study be conducted to support NDA resubmission. In April 2026, the Company again met with FDA to discuss the design of a new trial to provide additional data to support NDA resubmission. Based on the meeting discussion and written feedback, the Company plans to initiate the PROVE-FA open label study using matched natural history control in the third quarter of 2026. This study is expected to enroll approximately 120 patients ages 7 to 21 and the study primary endpoint is the change in mFARS from baseline to month 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quarter ended June 30, 2026, the Company initiated a Phase 1 study of PTC612, its oral NLRP3 inhibitor, and completed several of the single and multiple ascending dose treatment cohorts. Notably, this healthy volunteer study includes a cohort of individuals with obesity and cardiovascular disease, which the Company expects will provide an early view of pharmacokinetics and pharmacodynamics. The Company expects to initiate a Phase 2a study of PTC844, its next-generation DHODH inhibitor, in the third quarter of 2026. The PTC844 study will be a 12-week pharmacokinetics and pharmacodynamics study in which the Company will assess treatment effect on biomarkers related to T-cell and B-cell immunity. The Company expects that the results of this study will help inform the ultimate target indications for PTC844.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has a pipeline of product candidates and discovery programs that are in early clinical, pre-clinical and research and development stages focused on the development of new treatments for multiple therapeutic areas for rare diseases.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Company had an accumulated deficit of approximately $2,883.5 million. The Company has financed its operations to date primarily through the private offerings of convertible senior notes (see Note 9), public and “at the market” offerings of common stock, proceeds from royalty purchase agreements (see Note 9), private placements of its convertible preferred stock and common stock, collaborations, bank and institutional lender debt, other convertible debt, grant funding and clinical trial support from governmental and philanthropic organizations and patient advocacy groups in the disease areas addressed by the Company’s product candidates. The Company has also relied on revenue generated from net sales of its products, the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and the revenues associated with the Novartis Agreement. The Company expects that cash flows from the sales of its products, and milestone payments from Novartis, together with the Company’s cash, cash equivalents and marketable securities, will be sufficient to fund its operations for at least the next twelve months after the issuance date of these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complete listing of significant accounting policies is set forth in Note 2 of the notes to the Company’s audited financial statements as of December 31, 2025 included in the Company’s Annual Report on Form 10-K filed with the Securities and Exchange Commission (the "SEC") on February 19, 2026 (the "2025 Form 10-K"). There were no changes to significant accounting policies for the three and six months ended June 30, 2026. Selected significant accounting policies are discussed in further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accompanying financial information as of June 30, 2026 and for the three and six months ended June 30, 2026 and 2025 has been prepared by the Company, without audit, pursuant to the rules and regulations of the SEC.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29" w:name="Tc_RjLkYI_NHki_tl5dnYnZfw_7_5"/>
      <w:bookmarkStart w:id="1030" w:name="Tc_NM1-Jbwdi0-pSgfapOmeMA_7_2"/>
      <w:bookmarkStart w:id="1031" w:name="Tc_F87V8GK_pk6cD-eV0uoP5w_7_0"/>
      <w:bookmarkStart w:id="1032" w:name="Tc_hbZlkOmlIEOfx_K1mTvI3Q_6_0"/>
      <w:bookmarkStart w:id="1033" w:name="Tc_voDkcLNS2UerTQBjdXE2cA_5_5"/>
      <w:bookmarkStart w:id="1034" w:name="Tc_P-ttjWIQTUmxnyXIFpQ89Q_5_2"/>
      <w:bookmarkStart w:id="1035" w:name="Tc_lWb7PLWBvUiRjhIRdVvtkg_5_0"/>
      <w:bookmarkStart w:id="1036" w:name="Tc_yS-5AdM0EEm4bUqyFFwv-g_4_5"/>
      <w:bookmarkStart w:id="1037" w:name="Tc_cVn3c58KQE29cNJ6aQ82IQ_4_2"/>
      <w:bookmarkStart w:id="1038" w:name="Tc_K681Ab17AkGxdYK3QQzcyA_3_5"/>
      <w:bookmarkStart w:id="1039" w:name="Tc_UvtaEQlLLEyAYNaXZlSXmg_3_2"/>
      <w:bookmarkStart w:id="1040" w:name="Tc_t-e6t6j1s0GKTronq6XqOw_2_5"/>
      <w:bookmarkStart w:id="1041" w:name="Tc_07DaBRMMKU6LMLFlVDobTA_2_2"/>
      <w:bookmarkStart w:id="1042" w:name="Tc_THfz8sR1O02TEllOSmLl_w_1_5"/>
      <w:bookmarkStart w:id="1043" w:name="Tc_-X4rrONXYE6BQUpWRFKi6Q_1_2"/>
      <w:bookmarkStart w:id="1044" w:name="_Hlk17220614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sz w:val="20"/>
        </w:rPr>
        <w:t>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2025 and notes thereto included in the 2025 Form 10-K.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the unaudited financial information as of June 30, 2026 and for the three and six months ended June 30, 2026 and 2025 reflects all adjustments, which are normal recurring adjustments, necessary to present a fair statement of financial position, results of operations, stockholders’ deficit, and cash flows. The results of operations for the three and six months ended June 30, 2026 are not necessarily indicative of the results to be expected for the year ended December 31, 2026 or for any other interim period or for any other future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certain accruals related to the Company’s research and development expenses, valuation procedures for liability for sale of future royalties, and the provision for or benefit from income taxes. Actual results could differ from those estimates. Changes in estimates are reflected in reported results in the period in which they become known.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included in deposits and other assets on the consolidated balance sheet contains an unconditional, irrevocable and transferable letter of credit of $3.0 million in connection with an amendment and restatement of the Company’s lease in Hopewell Township, New Jersey. Restricted cash also contains an unconditional, irrevocable and transferable letter of credit of $10.0 million in connection with obligations for the Company’s facility lease in Warren, New Jersey. If after July 1, 2027, the Company is not in default of the lease agreement and meets certain creditworthiness guidelines, then the letter of credit will be reduced to $5.0 million. If after December 31, 2028, the Company is not in default of the lease agreement and meets certain creditworthiness guidelines, then the letter of credit will be further reduced to $2.5 million. Both letters of credit are classified within </w:t>
      </w:r>
      <w:r>
        <w:rPr>
          <w:rFonts w:ascii="Times New Roman;Times;serif" w:hAnsi="Times New Roman;Times;serif"/>
          <w:b w:val="false"/>
          <w:i w:val="false"/>
          <w:caps w:val="false"/>
          <w:smallCaps w:val="false"/>
          <w:sz w:val="20"/>
        </w:rPr>
        <w:t>deposits and other assets</w:t>
      </w:r>
      <w:r>
        <w:rPr>
          <w:rFonts w:ascii="Times New Roman;Times;serif" w:hAnsi="Times New Roman;Times;serif"/>
          <w:sz w:val="20"/>
        </w:rPr>
        <w:t xml:space="preserve"> on the consolidated balance sheet due to the long-term nature of the letters of credit. Restricted cash also includes a collateral account of $2.8 million in connection with the Company’s corporate card program. The collateral account is classified within deposits and other assets on the consolidated balance sheet due to its long-term nature. Restricted cash also includes a bank guarantee of $0.7 million denominated in a foreign currency.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 that sum to the total of the same amounts shown in the consolidated statement of cash flows: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187"/>
        <w:gridCol w:w="346"/>
        <w:gridCol w:w="211"/>
        <w:gridCol w:w="931"/>
        <w:gridCol w:w="346"/>
        <w:gridCol w:w="225"/>
        <w:gridCol w:w="959"/>
      </w:tblGrid>
      <w:tr>
        <w:trPr/>
        <w:tc>
          <w:tcPr>
            <w:tcW w:w="7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563745" cy="175260"/>
                      <wp:effectExtent l="0" t="0" r="0" b="0"/>
                      <wp:wrapNone/>
                      <wp:docPr id="117" name="Frame117"/>
                      <a:graphic xmlns:a="http://schemas.openxmlformats.org/drawingml/2006/main">
                        <a:graphicData uri="http://schemas.microsoft.com/office/word/2010/wordprocessingShape">
                          <wps:wsp>
                            <wps:cNvSpPr txBox="1"/>
                            <wps:spPr>
                              <a:xfrm>
                                <a:off x="0" y="0"/>
                                <a:ext cx="456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1185" cy="175260"/>
                      <wp:effectExtent l="0" t="0" r="0" b="0"/>
                      <wp:wrapNone/>
                      <wp:docPr id="120" name="Frame1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2875" cy="175260"/>
                      <wp:effectExtent l="0" t="0" r="0" b="0"/>
                      <wp:wrapNone/>
                      <wp:docPr id="122" name="Frame12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08965" cy="175260"/>
                      <wp:effectExtent l="0" t="0" r="0" b="0"/>
                      <wp:wrapNone/>
                      <wp:docPr id="123" name="Frame123"/>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w:t>
            </w:r>
          </w:p>
        </w:tc>
        <w:tc>
          <w:tcPr>
            <w:tcW w:w="346" w:type="dxa"/>
            <w:tcBorders/>
            <w:vAlign w:val="center"/>
          </w:tcPr>
          <w:p>
            <w:pPr>
              <w:pStyle w:val="TableContents"/>
              <w:bidi w:val="0"/>
              <w:spacing w:before="0" w:after="0"/>
              <w:ind w:left="0" w:right="0" w:hanging="0"/>
              <w:jc w:val="left"/>
              <w:rPr/>
            </w:pPr>
            <w:r>
              <w:rPr/>
              <w:t>  ​ ​ ​</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w:t>
            </w:r>
          </w:p>
        </w:tc>
      </w:tr>
      <w:tr>
        <w:trPr/>
        <w:tc>
          <w:tcPr>
            <w:tcW w:w="71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 </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71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1,049,887</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984,648</w:t>
            </w:r>
          </w:p>
        </w:tc>
      </w:tr>
      <w:tr>
        <w:trPr/>
        <w:tc>
          <w:tcPr>
            <w:tcW w:w="71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included in deposits and other assets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16,445</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w:t>
            </w:r>
          </w:p>
        </w:tc>
      </w:tr>
      <w:tr>
        <w:trPr/>
        <w:tc>
          <w:tcPr>
            <w:tcW w:w="71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per consolidated statement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1,066,332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998,334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product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net product revenue primarily consists of sales of Sephience for the treatment of PKU. Net product revenues also includes sales of Translarna in territories outside of the U.S. for the treatment of nmDMD and sales of Emflaza in the U.S. for the treatment of DMD. The Company recognizes revenue when its performance obligation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its customers has been satisfied. The Company’s performance obligation is to provide products based on customer orders from distributors, hospitals, specialty pharmacies or retail pharmacies. The performance obligation is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license,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doubtful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and six months ended June 30, 2026 and 2025, no allowance was recorded for credit losses. The allowance for doubtful accounts was $15.6 million as of June 30, 2026 and $15.2 million as of December 31, 2025. For the three and six months ended June 30, 2026, bad debt expense was $0.1 million and $0.8 million, respectively. For the three and six months ended June 30, 2025, bad debt expense was $5.9 million and $7.8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2017, the U.S. government enacted the 2017 Tax Cuts and Jobs Act (“TCJA”),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TCJA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2022, the European Union member states formally adopted the EU’s Pillar Two Directive, which generally provides for a minimum effective tax rate of 15%, as established by the Organization for Economic Co-operation and Development Pillar Two Framework that was supported by over 130 countries worldwide. The EU effective dates were January 1, 2024, and January 1, 2025, for different aspects of the directive. A significant number of other countries are also implementing similar legislation. As a result, the tax laws in the U.S. and other countries in which PTC and its affiliates do business could change on a prospective or retroactive basis and any such changes could materially adversely affect the Company’s business. The Company is continuing to evaluate the potential impact on future periods of the Pillar Two Framework, pending legislative adoption by additional individual countries, including those within the EU.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2022, TCJA amendments to Internal Revenue Code (“IRC”) Section 174 have no longer permitted an immediate deduction for research and development expenditures in the tax year that such costs were incurred. Instead, these IRC Section 174 development costs have had to be capitalized and amortized over a 5-year or 15-year period for domestic and foreign expenditures, respectively. On July 4, 2025, the U.S. government enacted the One Big Beautiful Bill Act (“OBBBA”) which generally extended the tax provisions previously enacted by the TCJA that were set to expire, as well as made other changes to federal tax law for multinational corporations. Effective beginning with PTC’s 2025 tax year, the OBBBA restored immediate deductibility of domestic expenditures, while foreign expenditures will continue to be capitalized and amortized over 15 years.  Additionally, IRC Section 174A, enacted as part of the OBBBA, allows for the immediate expensing of all remaining unamortized domestic costs either upfront in 2025, or ratably in 2025 and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45" w:name="_Hlk117253234"/>
      <w:bookmarkEnd w:id="1045"/>
      <w:r>
        <w:rPr>
          <w:rFonts w:ascii="Times New Roman;Times;serif" w:hAnsi="Times New Roman;Times;serif"/>
          <w:sz w:val="20"/>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 Expense Disaggregation Disclosures (Subtopic 220-40): Disaggregation of Income Statement Expenses. ASU 2024-03 enhances financial reporting by requiring additional information about specific expense categories in the notes to financial statements at interim and annual reporting periods. The guidance is effective for public business entities for annual periods beginning after December 15, 2026, and interim reporting periods beginning after December 15, 2027. Early adoption is permitted. The Company is currently planning to adopt this guidance when effective. The Company is assessing the impact of the adoption on the Company’s consolidated financial statements and accompanying footnotes but expects the impact will be enhanced disclosures related to income statement expenses.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2025, the FASB issued ASU 2025-06, Intangibles—Goodwill and Other— Internal-Use Software (Subtopic 350-40): Targeted Improvements to the Accounting for Internal-Use Software. ASU 2025-06 enhances accounting for software costs that are accounted for under Subtopic 350-40, Intangibles—Goodwill and Other—Internal-Use Software (referred to as “internal-use software”). The guidance is effective for public business entities for annual periods beginning after December 15, 2027, and interim reporting periods within those annual reporting periods. Entities have three transition options: prospective, retrospective, or modified prospective adoption. Early adoption is permitted as of the beginning of an annual reporting period. Instead of following prescriptive project stages for capitalization of internal-use software, entities will capitalize costs when management has authorized and committed funding for the software project and it is probable that the project will be completed and used as intended. The Company is assessing the impact of the adoption on the Company’s consolidated financial statements and accompanying footnotes.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ASU 2025-11 clarifies and reorganizes existing guidance related to interim financial reporting and disclosures. The guidance is effective for public business entities for interim reporting periods with annual reporting periods beginning after December 15, 2027. The Company is assessing the impact of the adoption on the Company’s consolidated financial statements and accompanying footnotes but expects the guidance will not have a material impact, as the guidance does not change the recognition or measurement of financial statement amounts.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2025-12, Codification Improvements. ASU 2025-12 makes targeted improvements to the FASB Accounting Standards Codification by clarifying language, correcting technical errors, and addressing unintended codification applications across various topics in the U.S. GAAP. The guidance is effective for public business entities for interim reporting periods with annual reporting periods beginning after December 15, 2026. The Company is assessing the impact of the adoption on the Company’s consolidated financial statements and accompanying footnotes but expects the guidance will not have a material impact, as the guidance does not change the recognition or measurement of financial statement amounts.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recently adopted accounting pronouncements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July 2025, the FASB issued ASU 2025-05, Financial Instruments-Credit Losses (Topic 326): Measurement of Credit Losses for Accounts Receivable and Contract Assets. ASU 2025-05 addresses challenges encountered when applying the guidance in Topic 326, Financial Instruments—Credit Losses, to current accounts receivable and current contract assets arising from transactions accounted for under Topic 606, Revenue from Contracts with Customers. The guidance is effective for public business entities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In developing reasonable and supportable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forecasts as part of estimating expected credit losses, the guidance provides that all entities may elect a practical expedient that assumes that current conditions as of the balance sheet date do not change for the remaining life of the asset. The Company adopted this guidance January 1, 2026. The adoption of this guidance did not have a material impact on the Company’s consolidated financial statements and accompanying footnotes.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2024, the FASB issued ASU 2024-04, Debt—Debt with Conversion and Other Options (Subtopic 470-20): Induced Conversions of Convertible Debt Instruments. ASU 2024-04 improves the relevance and consistency in application of the induced conversion guidance in Subtopic 470-20, Debt—Debt with Conversion and Other Options. The guidance is effective for all entities for annual reporting periods beginning after December 15, 2025, and interim reporting periods within those annual reporting periods. Early adoption is permitted for all entities that have adopted the amendments in Update 2020-06. The Company adopted this guidance January 1, 2026. Refer to Note 9 for additional details and the impact on the Company’s consolidated financial statements.</w:t>
      </w:r>
    </w:p>
    <w:p>
      <w:pPr>
        <w:pStyle w:val="TextBody"/>
        <w:bidi w:val="0"/>
        <w:spacing w:before="240" w:after="240"/>
        <w:ind w:left="0" w:right="0" w:hanging="0"/>
        <w:jc w:val="left"/>
        <w:rPr>
          <w:rFonts w:ascii="Times New Roman;Times;serif" w:hAnsi="Times New Roman;Times;serif"/>
          <w:b/>
          <w:sz w:val="20"/>
        </w:rPr>
      </w:pPr>
      <w:bookmarkStart w:id="1046" w:name="Tc_lNAH5YDjR0uOBS2sK7uM9g_5_5"/>
      <w:bookmarkStart w:id="1047" w:name="Tc_PNaZGV9QN0OxeHnkedANHw_5_2"/>
      <w:bookmarkStart w:id="1048" w:name="Tc_qz6zbKjMeU6ihnlOHedpGA_5_0"/>
      <w:bookmarkStart w:id="1049" w:name="Tc_cqU7NZgT00q-DTylpju7Yg_4_0"/>
      <w:bookmarkStart w:id="1050" w:name="Tc_-govsgeyFEOoLUedU22vQw_3_0"/>
      <w:bookmarkStart w:id="1051" w:name="Tc_0BB6r4b4U02ZAiZ3i1AEHg_2_5"/>
      <w:bookmarkStart w:id="1052" w:name="Tc_cOc1FmwMu06FDWIEznQAdQ_2_2"/>
      <w:bookmarkStart w:id="1053" w:name="Tc_8l79khCPrEKa6W_q-hBi9Q_2_0"/>
      <w:bookmarkStart w:id="1054" w:name="Tc_I6c2mNMrB0S5q00stdngwg_1_5"/>
      <w:bookmarkStart w:id="1055" w:name="Tc_Fx50EMRzkk6QdUo_Mn6PbQ_1_2"/>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3.        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components of the Company’s inventory for the periods indicated:</w:t>
      </w:r>
    </w:p>
    <w:p>
      <w:pPr>
        <w:pStyle w:val="TextBody"/>
        <w:bidi w:val="0"/>
        <w:spacing w:before="0" w:after="0"/>
        <w:ind w:left="0" w:right="0" w:hanging="0"/>
        <w:jc w:val="left"/>
        <w:rPr/>
      </w:pPr>
      <w:r>
        <w:rPr/>
        <w:t>​</w:t>
      </w:r>
    </w:p>
    <w:tbl>
      <w:tblPr>
        <w:tblW w:w="4865" w:type="dxa"/>
        <w:jc w:val="left"/>
        <w:tblInd w:w="0" w:type="dxa"/>
        <w:tblLayout w:type="fixed"/>
        <w:tblCellMar>
          <w:top w:w="0" w:type="dxa"/>
          <w:left w:w="0" w:type="dxa"/>
          <w:bottom w:w="0" w:type="dxa"/>
          <w:right w:w="0" w:type="dxa"/>
        </w:tblCellMar>
      </w:tblPr>
      <w:tblGrid>
        <w:gridCol w:w="1501"/>
        <w:gridCol w:w="346"/>
        <w:gridCol w:w="267"/>
        <w:gridCol w:w="859"/>
        <w:gridCol w:w="346"/>
        <w:gridCol w:w="325"/>
        <w:gridCol w:w="122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53135" cy="175260"/>
                      <wp:effectExtent l="0" t="0" r="0" b="0"/>
                      <wp:wrapNone/>
                      <wp:docPr id="124" name="Frame12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9545" cy="175260"/>
                      <wp:effectExtent l="0" t="0" r="0" b="0"/>
                      <wp:wrapNone/>
                      <wp:docPr id="126" name="Frame12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45465" cy="175260"/>
                      <wp:effectExtent l="0" t="0" r="0" b="0"/>
                      <wp:wrapNone/>
                      <wp:docPr id="127" name="Frame12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6375" cy="175260"/>
                      <wp:effectExtent l="0" t="0" r="0" b="0"/>
                      <wp:wrapNone/>
                      <wp:docPr id="129" name="Frame12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5335" cy="175260"/>
                      <wp:effectExtent l="0" t="0" r="0" b="0"/>
                      <wp:wrapNone/>
                      <wp:docPr id="130" name="Frame130"/>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57,775</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55,686</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23,058</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21,670</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91,354</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79,647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periodically reviews its inventories for excess amounts or obsolescence and writes down obsolete or otherwise unmarketable inventory to its estimated net realizable value. For the three and six months ended June 30, 2026, the Company recorded inventory write-downs of $0.9 million and $2.7 million, respectively, primarily related to adjustments to inventory reserves and product approaching expiration. For the three and six months ended June 30, 2025, the Company recorded inventory write-downs of $0.8 million and $4.3 million, respectively. Additionally, though the Company’s product is subject to strict quality control and monitoring which it performs throughout the manufacturing processes, certain batches or units of product may not meet quality specifications resulting in a charge to cost of product, collaboration and license sales. For the three and six months ended June 30, 2026 and 2025, these amounts were immaterial. For the six months ended June 30, 2026, the Company recorded a $0.8 million loss related to inventory impairments, which is recorded as tangible asset impairment and losses on transactions, net on the statements of operations. No inventory impairments were recorded for the three months ended June 30, 2026 and for the three and six months ended June 30, 2025.</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4.        Fair value of financial instruments and marketable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fair value measurement rules, which provideguidance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1—Unadjusted quoted prices in active markets for identical assets or liabilities that the Company has the ability to access at the balance sheet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56" w:name="Tc_JQ5fQjvtx0OX51_ZP-XR0g_7_18"/>
      <w:bookmarkStart w:id="1057" w:name="Tc_Brhe2YlBDUSZjOJBBgTNig_7_15"/>
      <w:bookmarkStart w:id="1058" w:name="Tc_kYdrt5fsdEWeN3Yo2ChEHw_7_12"/>
      <w:bookmarkStart w:id="1059" w:name="Tc_7PGyQhdlIkGfFaDQ_6UqIw_7_9"/>
      <w:bookmarkStart w:id="1060" w:name="Tc_ACK7C0HxE0Wi6njSxJrzFQ_7_5"/>
      <w:bookmarkStart w:id="1061" w:name="Tc_h7NWfADWMkWs_4XShwqbBg_7_2"/>
      <w:bookmarkStart w:id="1062" w:name="Tc_TUB7SGPw1kCys1dg-XCvwA_7_0"/>
      <w:bookmarkStart w:id="1063" w:name="Tc_UD6akEgxK0y6SMXi4Rm-gg_6_16"/>
      <w:bookmarkStart w:id="1064" w:name="Tc_PLL5dT6UdkKVorbj1qVlaA_6_13"/>
      <w:bookmarkStart w:id="1065" w:name="Tc_aYG81w9qhkin3js-OmfGNA_6_10"/>
      <w:bookmarkStart w:id="1066" w:name="Tc_g1PzNkojnkalyH0puUHN5w_6_0"/>
      <w:bookmarkStart w:id="1067" w:name="Tc_xUF8vZmzNUqeQVPhm9giqg_5_18"/>
      <w:bookmarkStart w:id="1068" w:name="Tc_bGh1seN3yEOcItC-zEaKkw_5_2"/>
      <w:bookmarkStart w:id="1069" w:name="Tc_A2uZRsUxr0-1J7BZqLsNeA_5_0"/>
      <w:bookmarkStart w:id="1070" w:name="Tc_2jnlP-3Qhki5cl-Ndi1_fw_4_18"/>
      <w:bookmarkStart w:id="1071" w:name="Tc_yv7MJPIkfEmLUKJT41cHwQ_4_15"/>
      <w:bookmarkStart w:id="1072" w:name="Tc_1ebdBFdwYESZmTeRFCmfuA_4_12"/>
      <w:bookmarkStart w:id="1073" w:name="Tc_Fl9YanPm4Eazfo94S0SOZg_4_9"/>
      <w:bookmarkStart w:id="1074" w:name="Tc_JqTnugJ-ukKQ07TWJ2qlZw_4_5"/>
      <w:bookmarkStart w:id="1075" w:name="Tc_SbL5NgTt-0GLRWGjMx6SiA_4_2"/>
      <w:bookmarkStart w:id="1076" w:name="Tc_-XKL6pbeLkqnJ-M6cng9XA_3_18"/>
      <w:bookmarkStart w:id="1077" w:name="Tc_iwXsoRkZ0E26UC5qWJVuvA_3_12"/>
      <w:bookmarkStart w:id="1078" w:name="Tc_Ndiu7ESUPE-_7bor1qRMhw_3_9"/>
      <w:bookmarkStart w:id="1079" w:name="Tc_hR06Kcm8E0izrFnWw6g-yw_3_5"/>
      <w:bookmarkStart w:id="1080" w:name="Tc_9Qn-XLvhpUSyskZNZOE0cw_3_2"/>
      <w:bookmarkStart w:id="1081" w:name="Tc_Nj4wiu7NTkezfNf2J_uewg_2_18"/>
      <w:bookmarkStart w:id="1082" w:name="Tc_Gz-NlRqNe0SSQqMOsNr_gQ_2_9"/>
      <w:bookmarkStart w:id="1083" w:name="Tc_ziP4QhtI3UK3AMZbWAohqQ_2_2"/>
      <w:bookmarkStart w:id="1084" w:name="Tc_ZnoXu3a7fkyaeCpLZuJcFg_1_18"/>
      <w:bookmarkStart w:id="1085" w:name="Tc_huZm2y3Iu0-zIktp0BwjIQ_1_9"/>
      <w:bookmarkStart w:id="1086" w:name="Tc_wfoS8nDeAEac327AFDp7zQ_1_2"/>
      <w:bookmarkStart w:id="1087" w:name="_f4e77cf4_323b_4334_bd08_418524e1af55"/>
      <w:bookmarkStart w:id="1088" w:name="Tc_EAqH1h_2i0yVrVroBOVYbQ_6_18"/>
      <w:bookmarkStart w:id="1089" w:name="Tc_N4gHg7Y1n02Xo7BTIVPQVQ_6_15"/>
      <w:bookmarkStart w:id="1090" w:name="Tc_Fkm4DQY3D0i2E0YuUWnsIA_6_12"/>
      <w:bookmarkStart w:id="1091" w:name="Tc_H-fXn-cJu0iiqDmDEBK5fg_6_9"/>
      <w:bookmarkStart w:id="1092" w:name="Tc_UqlgQ8Mja0qqKPQ-mdUCLg_6_5"/>
      <w:bookmarkStart w:id="1093" w:name="Tc_5aTSZHFG90qF73sgcfR8aQ_6_2"/>
      <w:bookmarkStart w:id="1094" w:name="Tc_Tgl9upTqt0SWDZ2cp3MmiQ_6_0"/>
      <w:bookmarkStart w:id="1095" w:name="Tc_KNRYDkAUNE-RNjQ0BJhwCA_5_18"/>
      <w:bookmarkStart w:id="1096" w:name="Tc_UrXB6qUbYkm2KLfkY0dhmg_5_2"/>
      <w:bookmarkStart w:id="1097" w:name="Tc_oj5dLP4iMUm4AIKGl9bvcw_5_0"/>
      <w:bookmarkStart w:id="1098" w:name="Tc_vk_IXqc8wE6tHnmORvi1CA_4_18"/>
      <w:bookmarkStart w:id="1099" w:name="Tc_5c5zH3jbQkuJZkZDUahA-A_4_15"/>
      <w:bookmarkStart w:id="1100" w:name="Tc_ApZwubLNGUeil_NChrHSnQ_4_12"/>
      <w:bookmarkStart w:id="1101" w:name="Tc_L2E4CMJqVUu-t7SoX0Nvsw_4_9"/>
      <w:bookmarkStart w:id="1102" w:name="Tc_qGU4qarGWUmc6o14pvgM7w_4_5"/>
      <w:bookmarkStart w:id="1103" w:name="Tc_2amT6t4NN0y9-Nr_o_Sd_Q_4_2"/>
      <w:bookmarkStart w:id="1104" w:name="Tc_biTwle3yL06Z8zlzAzWZtw_3_18"/>
      <w:bookmarkStart w:id="1105" w:name="Tc_e7NQhu5OI0WoAKwGiyudXQ_3_12"/>
      <w:bookmarkStart w:id="1106" w:name="Tc_BJUPQMg68kKM8_Se7Ajypg_3_9"/>
      <w:bookmarkStart w:id="1107" w:name="Tc_UGq4YxhL5E6XSdluLYbF8w_3_5"/>
      <w:bookmarkStart w:id="1108" w:name="Tc_S8LsJOL2b06ZEgVuQKTNlg_3_2"/>
      <w:bookmarkStart w:id="1109" w:name="Tc_sbOGvRNBqkK98z6VDq68Kw_2_18"/>
      <w:bookmarkStart w:id="1110" w:name="Tc_Qdm43L5JkkG4Qwn5we_aqw_2_9"/>
      <w:bookmarkStart w:id="1111" w:name="Tc_mFDVwVg0UE2RLfc-482fTg_2_2"/>
      <w:bookmarkStart w:id="1112" w:name="Tc_YE65FnN19Uqay1z8kyxnuQ_1_18"/>
      <w:bookmarkStart w:id="1113" w:name="Tc_jOo0fyfwvUiK9xkEDJGr6Q_1_9"/>
      <w:bookmarkStart w:id="1114" w:name="Tc_JONjBdKMGEKgY1wRnUzo1Q_1_2"/>
      <w:bookmarkStart w:id="1115" w:name="_f17ce3c2_f5db_470f_8715_e8673d6ef271"/>
      <w:bookmarkStart w:id="1116" w:name="Tc_Fmj_Trs8yk6oeFQYUu4JZA_7_18"/>
      <w:bookmarkStart w:id="1117" w:name="Tc_zBVqcqIk00isjJUi1bmPqQ_7_15"/>
      <w:bookmarkStart w:id="1118" w:name="Tc_dV-mnuDr4kOK_zWbMkHWNg_7_12"/>
      <w:bookmarkStart w:id="1119" w:name="Tc_qckE864c3Um8SdxxXrQNAg_7_9"/>
      <w:bookmarkStart w:id="1120" w:name="Tc__f0y-LMWzkm5MNkbumknQg_7_5"/>
      <w:bookmarkStart w:id="1121" w:name="Tc_xLRvsf2L1ku8mLqBxSPsLQ_7_2"/>
      <w:bookmarkStart w:id="1122" w:name="Tc_pVhdqgBoxEyaccuKDSua4w_7_0"/>
      <w:bookmarkStart w:id="1123" w:name="Tc_ZSsXeariIECRNRvCUzFhOw_6_16"/>
      <w:bookmarkStart w:id="1124" w:name="Tc_BOAarwa09U2oP4IqjgyQqA_6_13"/>
      <w:bookmarkStart w:id="1125" w:name="Tc_zvLy0tMxY0Wr1pX7PR0eVg_6_10"/>
      <w:bookmarkStart w:id="1126" w:name="Tc_AcENnWan-0Wzr4XL4U-HaQ_6_0"/>
      <w:bookmarkStart w:id="1127" w:name="Tc_hED6Hwp0_k6g3THuOHFGyw_5_18"/>
      <w:bookmarkStart w:id="1128" w:name="Tc_z1_avc-1iEyhQ88ep9nsoA_5_2"/>
      <w:bookmarkStart w:id="1129" w:name="Tc_oGjpuWGTBESWHCY5HBmJiA_5_0"/>
      <w:bookmarkStart w:id="1130" w:name="Tc_igERGQa8v0SnmO5SHxJeJg_4_18"/>
      <w:bookmarkStart w:id="1131" w:name="Tc_SrQA609qrEyLxi5338MXmg_4_15"/>
      <w:bookmarkStart w:id="1132" w:name="Tc_nYgfwEdu1EuOxWHPDUTcEQ_4_12"/>
      <w:bookmarkStart w:id="1133" w:name="Tc_LEIjS1TUyUelhHn86yvyRg_4_9"/>
      <w:bookmarkStart w:id="1134" w:name="Tc_UQjUnKd_Rkeajrm_w7X7Sg_4_5"/>
      <w:bookmarkStart w:id="1135" w:name="Tc_rRNAd9AUvUq0xa_upXs2qA_4_2"/>
      <w:bookmarkStart w:id="1136" w:name="Tc__qaWf_UFVUO5RgJ47EX4zg_3_18"/>
      <w:bookmarkStart w:id="1137" w:name="Tc_5QsuUGl57EWC7mROJ5mjvw_3_12"/>
      <w:bookmarkStart w:id="1138" w:name="Tc_5ZTNx7lj1UGM8y-tIbbfRw_3_9"/>
      <w:bookmarkStart w:id="1139" w:name="Tc_Jetgyg1mtEGhIW-EvPvMnQ_3_5"/>
      <w:bookmarkStart w:id="1140" w:name="Tc_FY9wDY-grESvh7mqzfBPgg_3_2"/>
      <w:bookmarkStart w:id="1141" w:name="Tc_ifbf0f9OxUOaHv3exap8MA_2_18"/>
      <w:bookmarkStart w:id="1142" w:name="Tc_qSaA8QhP602Ovij3-P0TdQ_2_9"/>
      <w:bookmarkStart w:id="1143" w:name="Tc_d3yMeqvoaEOGi71IUOWhOA_2_2"/>
      <w:bookmarkStart w:id="1144" w:name="Tc_izj9u7L0EUyHhghUI5rkOA_1_18"/>
      <w:bookmarkStart w:id="1145" w:name="Tc_bpCjZoZSjESK4XjCaLXOAw_1_9"/>
      <w:bookmarkStart w:id="1146" w:name="Tc_QF2vL1eW3kaJywdiwVp_LA_1_2"/>
      <w:bookmarkStart w:id="1147" w:name="_ae8e3f5b_2166_4e38_b954_e7b01ca9289a"/>
      <w:bookmarkStart w:id="1148" w:name="Tc_RiPhlBXEJkizwao8fKdg6A_6_18"/>
      <w:bookmarkStart w:id="1149" w:name="Tc_k6S6amUX4Ui3rKyxFsBL6A_6_15"/>
      <w:bookmarkStart w:id="1150" w:name="Tc_qTRKkgipX0OkTv9xCn8o5w_6_12"/>
      <w:bookmarkStart w:id="1151" w:name="Tc_VA_0HBZaSkKb4X03iyNqOg_6_9"/>
      <w:bookmarkStart w:id="1152" w:name="Tc_HrhpMae-ek2KrhtfiocQdQ_6_5"/>
      <w:bookmarkStart w:id="1153" w:name="Tc_yX6KmH_72kuwZOOj6MNaYA_6_2"/>
      <w:bookmarkStart w:id="1154" w:name="Tc_xDVLpGbEu0aTV53ZMtNZMw_6_0"/>
      <w:bookmarkStart w:id="1155" w:name="Tc_EAFUy-zRD0q0r55Xzwjy1Q_5_18"/>
      <w:bookmarkStart w:id="1156" w:name="Tc_h7FtWX7uiUeLmFwCqGYvXA_5_2"/>
      <w:bookmarkStart w:id="1157" w:name="Tc_TpY45zIdJkKmTtXKZLmgug_5_0"/>
      <w:bookmarkStart w:id="1158" w:name="Tc_EfM19wUPd0CMK2nG1nL-zg_4_18"/>
      <w:bookmarkStart w:id="1159" w:name="Tc_D3LHz7oFb0O9rtnyqNlUvw_4_15"/>
      <w:bookmarkStart w:id="1160" w:name="Tc_xpDJbVTcBk2Cizj09g31fQ_4_12"/>
      <w:bookmarkStart w:id="1161" w:name="Tc_WPOPcczxY0if6qjGCkjV_A_4_9"/>
      <w:bookmarkStart w:id="1162" w:name="Tc_n4OeG2npKk-riGpL37pofw_4_5"/>
      <w:bookmarkStart w:id="1163" w:name="Tc_pTsEZI2xqky7UYSQbMxigw_4_2"/>
      <w:bookmarkStart w:id="1164" w:name="Tc_HDtd7bCDd0mAXtF5nJnoBg_3_18"/>
      <w:bookmarkStart w:id="1165" w:name="Tc_0uQ6v4scoEmLDMFWiaoxCw_3_12"/>
      <w:bookmarkStart w:id="1166" w:name="Tc_lHQ6um4drk-H_x6Ya4llGw_3_9"/>
      <w:bookmarkStart w:id="1167" w:name="Tc_4CFGJ6N870q2y__Iz7atVQ_3_5"/>
      <w:bookmarkStart w:id="1168" w:name="Tc_fWxjUW1wIUGc-oKmOdmXrg_3_2"/>
      <w:bookmarkStart w:id="1169" w:name="Tc_D573bF8hH0CzfTiCLHKDYA_2_18"/>
      <w:bookmarkStart w:id="1170" w:name="Tc_lCLDtc1kkUa2hggu-8mlMA_2_9"/>
      <w:bookmarkStart w:id="1171" w:name="Tc_SAji675QOkWifsuKjD7aTQ_2_2"/>
      <w:bookmarkStart w:id="1172" w:name="Tc_4NVh0FxyfUiLER6IpoX7wA_1_18"/>
      <w:bookmarkStart w:id="1173" w:name="Tc_mwH6G9eF-U2z7cO_X3Tqbw_1_9"/>
      <w:bookmarkStart w:id="1174" w:name="Tc_nh4iVtxJSkyIYOZEyIp-lw_1_2"/>
      <w:bookmarkStart w:id="1175" w:name="_b5e485e5_878f_495a_a0ea_4caf2a6ebf1e"/>
      <w:bookmarkStart w:id="1176" w:name="_Hlk116910594"/>
      <w:bookmarkStart w:id="1177" w:name="_Hlk71012461"/>
      <w:bookmarkStart w:id="1178" w:name="_Hlk147929581"/>
      <w:bookmarkStart w:id="1179" w:name="Tc_JQ5fQjvtx0OX51_ZP-XR0g_7_18"/>
      <w:bookmarkStart w:id="1180" w:name="Tc_Brhe2YlBDUSZjOJBBgTNig_7_15"/>
      <w:bookmarkStart w:id="1181" w:name="Tc_kYdrt5fsdEWeN3Yo2ChEHw_7_12"/>
      <w:bookmarkStart w:id="1182" w:name="Tc_7PGyQhdlIkGfFaDQ_6UqIw_7_9"/>
      <w:bookmarkStart w:id="1183" w:name="Tc_ACK7C0HxE0Wi6njSxJrzFQ_7_5"/>
      <w:bookmarkStart w:id="1184" w:name="Tc_h7NWfADWMkWs_4XShwqbBg_7_2"/>
      <w:bookmarkStart w:id="1185" w:name="Tc_TUB7SGPw1kCys1dg-XCvwA_7_0"/>
      <w:bookmarkStart w:id="1186" w:name="Tc_UD6akEgxK0y6SMXi4Rm-gg_6_16"/>
      <w:bookmarkStart w:id="1187" w:name="Tc_PLL5dT6UdkKVorbj1qVlaA_6_13"/>
      <w:bookmarkStart w:id="1188" w:name="Tc_aYG81w9qhkin3js-OmfGNA_6_10"/>
      <w:bookmarkStart w:id="1189" w:name="Tc_g1PzNkojnkalyH0puUHN5w_6_0"/>
      <w:bookmarkStart w:id="1190" w:name="Tc_xUF8vZmzNUqeQVPhm9giqg_5_18"/>
      <w:bookmarkStart w:id="1191" w:name="Tc_bGh1seN3yEOcItC-zEaKkw_5_2"/>
      <w:bookmarkStart w:id="1192" w:name="Tc_A2uZRsUxr0-1J7BZqLsNeA_5_0"/>
      <w:bookmarkStart w:id="1193" w:name="Tc_2jnlP-3Qhki5cl-Ndi1_fw_4_18"/>
      <w:bookmarkStart w:id="1194" w:name="Tc_yv7MJPIkfEmLUKJT41cHwQ_4_15"/>
      <w:bookmarkStart w:id="1195" w:name="Tc_1ebdBFdwYESZmTeRFCmfuA_4_12"/>
      <w:bookmarkStart w:id="1196" w:name="Tc_Fl9YanPm4Eazfo94S0SOZg_4_9"/>
      <w:bookmarkStart w:id="1197" w:name="Tc_JqTnugJ-ukKQ07TWJ2qlZw_4_5"/>
      <w:bookmarkStart w:id="1198" w:name="Tc_SbL5NgTt-0GLRWGjMx6SiA_4_2"/>
      <w:bookmarkStart w:id="1199" w:name="Tc_-XKL6pbeLkqnJ-M6cng9XA_3_18"/>
      <w:bookmarkStart w:id="1200" w:name="Tc_iwXsoRkZ0E26UC5qWJVuvA_3_12"/>
      <w:bookmarkStart w:id="1201" w:name="Tc_Ndiu7ESUPE-_7bor1qRMhw_3_9"/>
      <w:bookmarkStart w:id="1202" w:name="Tc_hR06Kcm8E0izrFnWw6g-yw_3_5"/>
      <w:bookmarkStart w:id="1203" w:name="Tc_9Qn-XLvhpUSyskZNZOE0cw_3_2"/>
      <w:bookmarkStart w:id="1204" w:name="Tc_Nj4wiu7NTkezfNf2J_uewg_2_18"/>
      <w:bookmarkStart w:id="1205" w:name="Tc_Gz-NlRqNe0SSQqMOsNr_gQ_2_9"/>
      <w:bookmarkStart w:id="1206" w:name="Tc_ziP4QhtI3UK3AMZbWAohqQ_2_2"/>
      <w:bookmarkStart w:id="1207" w:name="Tc_ZnoXu3a7fkyaeCpLZuJcFg_1_18"/>
      <w:bookmarkStart w:id="1208" w:name="Tc_huZm2y3Iu0-zIktp0BwjIQ_1_9"/>
      <w:bookmarkStart w:id="1209" w:name="Tc_wfoS8nDeAEac327AFDp7zQ_1_2"/>
      <w:bookmarkStart w:id="1210" w:name="_f4e77cf4_323b_4334_bd08_418524e1af55"/>
      <w:bookmarkStart w:id="1211" w:name="Tc_EAqH1h_2i0yVrVroBOVYbQ_6_18"/>
      <w:bookmarkStart w:id="1212" w:name="Tc_N4gHg7Y1n02Xo7BTIVPQVQ_6_15"/>
      <w:bookmarkStart w:id="1213" w:name="Tc_Fkm4DQY3D0i2E0YuUWnsIA_6_12"/>
      <w:bookmarkStart w:id="1214" w:name="Tc_H-fXn-cJu0iiqDmDEBK5fg_6_9"/>
      <w:bookmarkStart w:id="1215" w:name="Tc_UqlgQ8Mja0qqKPQ-mdUCLg_6_5"/>
      <w:bookmarkStart w:id="1216" w:name="Tc_5aTSZHFG90qF73sgcfR8aQ_6_2"/>
      <w:bookmarkStart w:id="1217" w:name="Tc_Tgl9upTqt0SWDZ2cp3MmiQ_6_0"/>
      <w:bookmarkStart w:id="1218" w:name="Tc_KNRYDkAUNE-RNjQ0BJhwCA_5_18"/>
      <w:bookmarkStart w:id="1219" w:name="Tc_UrXB6qUbYkm2KLfkY0dhmg_5_2"/>
      <w:bookmarkStart w:id="1220" w:name="Tc_oj5dLP4iMUm4AIKGl9bvcw_5_0"/>
      <w:bookmarkStart w:id="1221" w:name="Tc_vk_IXqc8wE6tHnmORvi1CA_4_18"/>
      <w:bookmarkStart w:id="1222" w:name="Tc_5c5zH3jbQkuJZkZDUahA-A_4_15"/>
      <w:bookmarkStart w:id="1223" w:name="Tc_ApZwubLNGUeil_NChrHSnQ_4_12"/>
      <w:bookmarkStart w:id="1224" w:name="Tc_L2E4CMJqVUu-t7SoX0Nvsw_4_9"/>
      <w:bookmarkStart w:id="1225" w:name="Tc_qGU4qarGWUmc6o14pvgM7w_4_5"/>
      <w:bookmarkStart w:id="1226" w:name="Tc_2amT6t4NN0y9-Nr_o_Sd_Q_4_2"/>
      <w:bookmarkStart w:id="1227" w:name="Tc_biTwle3yL06Z8zlzAzWZtw_3_18"/>
      <w:bookmarkStart w:id="1228" w:name="Tc_e7NQhu5OI0WoAKwGiyudXQ_3_12"/>
      <w:bookmarkStart w:id="1229" w:name="Tc_BJUPQMg68kKM8_Se7Ajypg_3_9"/>
      <w:bookmarkStart w:id="1230" w:name="Tc_UGq4YxhL5E6XSdluLYbF8w_3_5"/>
      <w:bookmarkStart w:id="1231" w:name="Tc_S8LsJOL2b06ZEgVuQKTNlg_3_2"/>
      <w:bookmarkStart w:id="1232" w:name="Tc_sbOGvRNBqkK98z6VDq68Kw_2_18"/>
      <w:bookmarkStart w:id="1233" w:name="Tc_Qdm43L5JkkG4Qwn5we_aqw_2_9"/>
      <w:bookmarkStart w:id="1234" w:name="Tc_mFDVwVg0UE2RLfc-482fTg_2_2"/>
      <w:bookmarkStart w:id="1235" w:name="Tc_YE65FnN19Uqay1z8kyxnuQ_1_18"/>
      <w:bookmarkStart w:id="1236" w:name="Tc_jOo0fyfwvUiK9xkEDJGr6Q_1_9"/>
      <w:bookmarkStart w:id="1237" w:name="Tc_JONjBdKMGEKgY1wRnUzo1Q_1_2"/>
      <w:bookmarkStart w:id="1238" w:name="_f17ce3c2_f5db_470f_8715_e8673d6ef271"/>
      <w:bookmarkStart w:id="1239" w:name="Tc_Fmj_Trs8yk6oeFQYUu4JZA_7_18"/>
      <w:bookmarkStart w:id="1240" w:name="Tc_zBVqcqIk00isjJUi1bmPqQ_7_15"/>
      <w:bookmarkStart w:id="1241" w:name="Tc_dV-mnuDr4kOK_zWbMkHWNg_7_12"/>
      <w:bookmarkStart w:id="1242" w:name="Tc_qckE864c3Um8SdxxXrQNAg_7_9"/>
      <w:bookmarkStart w:id="1243" w:name="Tc__f0y-LMWzkm5MNkbumknQg_7_5"/>
      <w:bookmarkStart w:id="1244" w:name="Tc_xLRvsf2L1ku8mLqBxSPsLQ_7_2"/>
      <w:bookmarkStart w:id="1245" w:name="Tc_pVhdqgBoxEyaccuKDSua4w_7_0"/>
      <w:bookmarkStart w:id="1246" w:name="Tc_ZSsXeariIECRNRvCUzFhOw_6_16"/>
      <w:bookmarkStart w:id="1247" w:name="Tc_BOAarwa09U2oP4IqjgyQqA_6_13"/>
      <w:bookmarkStart w:id="1248" w:name="Tc_zvLy0tMxY0Wr1pX7PR0eVg_6_10"/>
      <w:bookmarkStart w:id="1249" w:name="Tc_AcENnWan-0Wzr4XL4U-HaQ_6_0"/>
      <w:bookmarkStart w:id="1250" w:name="Tc_hED6Hwp0_k6g3THuOHFGyw_5_18"/>
      <w:bookmarkStart w:id="1251" w:name="Tc_z1_avc-1iEyhQ88ep9nsoA_5_2"/>
      <w:bookmarkStart w:id="1252" w:name="Tc_oGjpuWGTBESWHCY5HBmJiA_5_0"/>
      <w:bookmarkStart w:id="1253" w:name="Tc_igERGQa8v0SnmO5SHxJeJg_4_18"/>
      <w:bookmarkStart w:id="1254" w:name="Tc_SrQA609qrEyLxi5338MXmg_4_15"/>
      <w:bookmarkStart w:id="1255" w:name="Tc_nYgfwEdu1EuOxWHPDUTcEQ_4_12"/>
      <w:bookmarkStart w:id="1256" w:name="Tc_LEIjS1TUyUelhHn86yvyRg_4_9"/>
      <w:bookmarkStart w:id="1257" w:name="Tc_UQjUnKd_Rkeajrm_w7X7Sg_4_5"/>
      <w:bookmarkStart w:id="1258" w:name="Tc_rRNAd9AUvUq0xa_upXs2qA_4_2"/>
      <w:bookmarkStart w:id="1259" w:name="Tc__qaWf_UFVUO5RgJ47EX4zg_3_18"/>
      <w:bookmarkStart w:id="1260" w:name="Tc_5QsuUGl57EWC7mROJ5mjvw_3_12"/>
      <w:bookmarkStart w:id="1261" w:name="Tc_5ZTNx7lj1UGM8y-tIbbfRw_3_9"/>
      <w:bookmarkStart w:id="1262" w:name="Tc_Jetgyg1mtEGhIW-EvPvMnQ_3_5"/>
      <w:bookmarkStart w:id="1263" w:name="Tc_FY9wDY-grESvh7mqzfBPgg_3_2"/>
      <w:bookmarkStart w:id="1264" w:name="Tc_ifbf0f9OxUOaHv3exap8MA_2_18"/>
      <w:bookmarkStart w:id="1265" w:name="Tc_qSaA8QhP602Ovij3-P0TdQ_2_9"/>
      <w:bookmarkStart w:id="1266" w:name="Tc_d3yMeqvoaEOGi71IUOWhOA_2_2"/>
      <w:bookmarkStart w:id="1267" w:name="Tc_izj9u7L0EUyHhghUI5rkOA_1_18"/>
      <w:bookmarkStart w:id="1268" w:name="Tc_bpCjZoZSjESK4XjCaLXOAw_1_9"/>
      <w:bookmarkStart w:id="1269" w:name="Tc_QF2vL1eW3kaJywdiwVp_LA_1_2"/>
      <w:bookmarkStart w:id="1270" w:name="_ae8e3f5b_2166_4e38_b954_e7b01ca9289a"/>
      <w:bookmarkStart w:id="1271" w:name="Tc_RiPhlBXEJkizwao8fKdg6A_6_18"/>
      <w:bookmarkStart w:id="1272" w:name="Tc_k6S6amUX4Ui3rKyxFsBL6A_6_15"/>
      <w:bookmarkStart w:id="1273" w:name="Tc_qTRKkgipX0OkTv9xCn8o5w_6_12"/>
      <w:bookmarkStart w:id="1274" w:name="Tc_VA_0HBZaSkKb4X03iyNqOg_6_9"/>
      <w:bookmarkStart w:id="1275" w:name="Tc_HrhpMae-ek2KrhtfiocQdQ_6_5"/>
      <w:bookmarkStart w:id="1276" w:name="Tc_yX6KmH_72kuwZOOj6MNaYA_6_2"/>
      <w:bookmarkStart w:id="1277" w:name="Tc_xDVLpGbEu0aTV53ZMtNZMw_6_0"/>
      <w:bookmarkStart w:id="1278" w:name="Tc_EAFUy-zRD0q0r55Xzwjy1Q_5_18"/>
      <w:bookmarkStart w:id="1279" w:name="Tc_h7FtWX7uiUeLmFwCqGYvXA_5_2"/>
      <w:bookmarkStart w:id="1280" w:name="Tc_TpY45zIdJkKmTtXKZLmgug_5_0"/>
      <w:bookmarkStart w:id="1281" w:name="Tc_EfM19wUPd0CMK2nG1nL-zg_4_18"/>
      <w:bookmarkStart w:id="1282" w:name="Tc_D3LHz7oFb0O9rtnyqNlUvw_4_15"/>
      <w:bookmarkStart w:id="1283" w:name="Tc_xpDJbVTcBk2Cizj09g31fQ_4_12"/>
      <w:bookmarkStart w:id="1284" w:name="Tc_WPOPcczxY0if6qjGCkjV_A_4_9"/>
      <w:bookmarkStart w:id="1285" w:name="Tc_n4OeG2npKk-riGpL37pofw_4_5"/>
      <w:bookmarkStart w:id="1286" w:name="Tc_pTsEZI2xqky7UYSQbMxigw_4_2"/>
      <w:bookmarkStart w:id="1287" w:name="Tc_HDtd7bCDd0mAXtF5nJnoBg_3_18"/>
      <w:bookmarkStart w:id="1288" w:name="Tc_0uQ6v4scoEmLDMFWiaoxCw_3_12"/>
      <w:bookmarkStart w:id="1289" w:name="Tc_lHQ6um4drk-H_x6Ya4llGw_3_9"/>
      <w:bookmarkStart w:id="1290" w:name="Tc_4CFGJ6N870q2y__Iz7atVQ_3_5"/>
      <w:bookmarkStart w:id="1291" w:name="Tc_fWxjUW1wIUGc-oKmOdmXrg_3_2"/>
      <w:bookmarkStart w:id="1292" w:name="Tc_D573bF8hH0CzfTiCLHKDYA_2_18"/>
      <w:bookmarkStart w:id="1293" w:name="Tc_lCLDtc1kkUa2hggu-8mlMA_2_9"/>
      <w:bookmarkStart w:id="1294" w:name="Tc_SAji675QOkWifsuKjD7aTQ_2_2"/>
      <w:bookmarkStart w:id="1295" w:name="Tc_4NVh0FxyfUiLER6IpoX7wA_1_18"/>
      <w:bookmarkStart w:id="1296" w:name="Tc_mwH6G9eF-U2z7cO_X3Tqbw_1_9"/>
      <w:bookmarkStart w:id="1297" w:name="Tc_nh4iVtxJSkyIYOZEyIp-lw_1_2"/>
      <w:bookmarkStart w:id="1298" w:name="_b5e485e5_878f_495a_a0ea_4caf2a6ebf1e"/>
      <w:bookmarkStart w:id="1299" w:name="_Hlk116910594"/>
      <w:bookmarkStart w:id="1300" w:name="_Hlk71012461"/>
      <w:bookmarkStart w:id="1301" w:name="_Hlk147929581"/>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are derived principally from or corroborated by observable market data by correlation or other means (market corroborated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3—Inputs are unobservable and reflect the Company’s assumptions as to what market participants would use in pricing the asset or liability. The Company develops these inputs based on the best information available.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equivalents and marketable securities are reflected in the accompanying financial statements at fair value. The carrying amount of receivables and accounts payable and accrued expenses approximates fair value due to the short-term nature of those instruments.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marketable securities consist of both debt securities and equity investments. </w:t>
      </w:r>
      <w:r>
        <w:rPr>
          <w:rFonts w:ascii="Times New Roman;Times;serif" w:hAnsi="Times New Roman;Times;serif"/>
          <w:sz w:val="20"/>
          <w:shd w:fill="FFFFFF" w:val="clear"/>
        </w:rPr>
        <w:t>The Company previously owned common stock in ClearPoint Neuro, Inc. (“ClearPoint”) (formerly MRI Interventions, Inc.), a publicly traded medical device company. The ClearPoint equity investments (collectively, the “ClearPoint Equity Investments”) represented financial instruments, and therefore, were recorded at fair value, which was readily determinable. As of December 31, 2025, the Company sold all of its ClearPoint Equity Investments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an investment in mutual funds that is denominated in a foreign currency and is classified as marketable securities on the Company’s consolidated balance sheets. This equity investment is reported at fair value, as it is readily available, and as such is classified as a Level 1 asset. Unrealized holding gains and losses for this equity investment are included as components of interest expense, net within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tables presented below are a summary of changes in the fair value for the Company’s marketable securities – equity investments and ClearPoint Equity Investments for the three and six months ended June 30, 2026 and June 30, 2025: </w:t>
      </w:r>
    </w:p>
    <w:p>
      <w:pPr>
        <w:pStyle w:val="TextBody"/>
        <w:bidi w:val="0"/>
        <w:spacing w:before="0" w:after="0"/>
        <w:ind w:left="0" w:right="0" w:hanging="0"/>
        <w:jc w:val="left"/>
        <w:rPr/>
      </w:pPr>
      <w:r>
        <w:rPr/>
        <w:t>​</w:t>
      </w:r>
    </w:p>
    <w:tbl>
      <w:tblPr>
        <w:tblW w:w="8659" w:type="dxa"/>
        <w:jc w:val="left"/>
        <w:tblInd w:w="0" w:type="dxa"/>
        <w:tblLayout w:type="fixed"/>
        <w:tblCellMar>
          <w:top w:w="0" w:type="dxa"/>
          <w:left w:w="0" w:type="dxa"/>
          <w:bottom w:w="0" w:type="dxa"/>
          <w:right w:w="0" w:type="dxa"/>
        </w:tblCellMar>
      </w:tblPr>
      <w:tblGrid>
        <w:gridCol w:w="2566"/>
        <w:gridCol w:w="146"/>
        <w:gridCol w:w="192"/>
        <w:gridCol w:w="543"/>
        <w:gridCol w:w="146"/>
        <w:gridCol w:w="275"/>
        <w:gridCol w:w="505"/>
        <w:gridCol w:w="146"/>
        <w:gridCol w:w="286"/>
        <w:gridCol w:w="219"/>
        <w:gridCol w:w="532"/>
        <w:gridCol w:w="286"/>
        <w:gridCol w:w="250"/>
        <w:gridCol w:w="605"/>
        <w:gridCol w:w="286"/>
        <w:gridCol w:w="181"/>
        <w:gridCol w:w="601"/>
        <w:gridCol w:w="109"/>
        <w:gridCol w:w="181"/>
        <w:gridCol w:w="60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29410" cy="175260"/>
                      <wp:effectExtent l="0" t="0" r="0" b="0"/>
                      <wp:wrapNone/>
                      <wp:docPr id="131" name="Frame13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2710" cy="175260"/>
                      <wp:effectExtent l="0" t="0" r="0" b="0"/>
                      <wp:wrapNone/>
                      <wp:docPr id="132" name="Frame1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1920" cy="175260"/>
                      <wp:effectExtent l="0" t="0" r="0" b="0"/>
                      <wp:wrapNone/>
                      <wp:docPr id="133" name="Frame13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44805" cy="175260"/>
                      <wp:effectExtent l="0" t="0" r="0" b="0"/>
                      <wp:wrapNone/>
                      <wp:docPr id="134" name="Frame13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4625" cy="175260"/>
                      <wp:effectExtent l="0" t="0" r="0" b="0"/>
                      <wp:wrapNone/>
                      <wp:docPr id="136" name="Frame13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0675" cy="175260"/>
                      <wp:effectExtent l="0" t="0" r="0" b="0"/>
                      <wp:wrapNone/>
                      <wp:docPr id="137" name="Frame137"/>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2710" cy="175260"/>
                      <wp:effectExtent l="0" t="0" r="0" b="0"/>
                      <wp:wrapNone/>
                      <wp:docPr id="138" name="Frame1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1610" cy="175260"/>
                      <wp:effectExtent l="0" t="0" r="0" b="0"/>
                      <wp:wrapNone/>
                      <wp:docPr id="139" name="Frame1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9065" cy="175260"/>
                      <wp:effectExtent l="0" t="0" r="0" b="0"/>
                      <wp:wrapNone/>
                      <wp:docPr id="140" name="Frame14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37820" cy="175260"/>
                      <wp:effectExtent l="0" t="0" r="0" b="0"/>
                      <wp:wrapNone/>
                      <wp:docPr id="141" name="Frame14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1610" cy="175260"/>
                      <wp:effectExtent l="0" t="0" r="0" b="0"/>
                      <wp:wrapNone/>
                      <wp:docPr id="142" name="Frame1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8750" cy="175260"/>
                      <wp:effectExtent l="0" t="0" r="0" b="0"/>
                      <wp:wrapNone/>
                      <wp:docPr id="143" name="Frame14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84175" cy="175260"/>
                      <wp:effectExtent l="0" t="0" r="0" b="0"/>
                      <wp:wrapNone/>
                      <wp:docPr id="144" name="Frame14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1610" cy="175260"/>
                      <wp:effectExtent l="0" t="0" r="0" b="0"/>
                      <wp:wrapNone/>
                      <wp:docPr id="145" name="Frame1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4935" cy="175260"/>
                      <wp:effectExtent l="0" t="0" r="0" b="0"/>
                      <wp:wrapNone/>
                      <wp:docPr id="146"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1635" cy="175260"/>
                      <wp:effectExtent l="0" t="0" r="0" b="0"/>
                      <wp:wrapNone/>
                      <wp:docPr id="147" name="Frame1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14935" cy="175260"/>
                      <wp:effectExtent l="0" t="0" r="0" b="0"/>
                      <wp:wrapNone/>
                      <wp:docPr id="149"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83540" cy="175260"/>
                      <wp:effectExtent l="0" t="0" r="0" b="0"/>
                      <wp:wrapNone/>
                      <wp:docPr id="150" name="Frame15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color w:val="0563C1"/>
              </w:rPr>
            </w:pPr>
            <w:r>
              <w:rPr>
                <w:color w:val="0563C1"/>
              </w:rPr>
              <w:t>​</w:t>
            </w:r>
          </w:p>
        </w:tc>
        <w:tc>
          <w:tcPr>
            <w:tcW w:w="146" w:type="dxa"/>
            <w:tcBorders/>
            <w:vAlign w:val="center"/>
          </w:tcPr>
          <w:p>
            <w:pPr>
              <w:pStyle w:val="TableContents"/>
              <w:bidi w:val="0"/>
              <w:spacing w:before="0" w:after="1"/>
              <w:ind w:left="0" w:right="0" w:hanging="0"/>
              <w:jc w:val="left"/>
              <w:rPr/>
            </w:pPr>
            <w:r>
              <w:rPr/>
              <w:t>​</w:t>
            </w:r>
          </w:p>
        </w:tc>
        <w:tc>
          <w:tcPr>
            <w:tcW w:w="7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Ending</w:t>
            </w:r>
          </w:p>
        </w:tc>
        <w:tc>
          <w:tcPr>
            <w:tcW w:w="1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50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28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r>
      <w:tr>
        <w:trPr/>
        <w:tc>
          <w:tcPr>
            <w:tcW w:w="256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right"/>
              <w:rPr/>
            </w:pPr>
            <w:r>
              <w:rPr/>
              <w:t>​</w:t>
            </w:r>
          </w:p>
        </w:tc>
        <w:tc>
          <w:tcPr>
            <w:tcW w:w="7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146" w:type="dxa"/>
            <w:tcBorders/>
            <w:vAlign w:val="center"/>
          </w:tcPr>
          <w:p>
            <w:pPr>
              <w:pStyle w:val="TableContents"/>
              <w:bidi w:val="0"/>
              <w:spacing w:before="0" w:after="1"/>
              <w:ind w:left="0" w:right="0" w:hanging="0"/>
              <w:jc w:val="center"/>
              <w:rPr/>
            </w:pPr>
            <w:r>
              <w:rPr/>
              <w:t>​</w:t>
            </w:r>
          </w:p>
        </w:tc>
        <w:tc>
          <w:tcPr>
            <w:tcW w:w="275" w:type="dxa"/>
            <w:tcBorders/>
            <w:vAlign w:val="center"/>
          </w:tcPr>
          <w:p>
            <w:pPr>
              <w:pStyle w:val="TableContents"/>
              <w:bidi w:val="0"/>
              <w:spacing w:before="0" w:after="1"/>
              <w:ind w:left="0" w:right="0" w:hanging="0"/>
              <w:jc w:val="center"/>
              <w:rPr/>
            </w:pPr>
            <w:r>
              <w:rPr/>
              <w:t>​</w:t>
            </w:r>
          </w:p>
        </w:tc>
        <w:tc>
          <w:tcPr>
            <w:tcW w:w="50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28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605"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right"/>
              <w:rPr/>
            </w:pPr>
            <w:r>
              <w:rPr/>
              <w:t>​</w:t>
            </w:r>
          </w:p>
        </w:tc>
        <w:tc>
          <w:tcPr>
            <w:tcW w:w="7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146" w:type="dxa"/>
            <w:tcBorders/>
            <w:vAlign w:val="center"/>
          </w:tcPr>
          <w:p>
            <w:pPr>
              <w:pStyle w:val="TableContents"/>
              <w:bidi w:val="0"/>
              <w:spacing w:before="0" w:after="1"/>
              <w:ind w:left="0" w:right="0" w:hanging="0"/>
              <w:jc w:val="center"/>
              <w:rPr/>
            </w:pPr>
            <w:r>
              <w:rPr/>
              <w:t>​</w:t>
            </w:r>
          </w:p>
        </w:tc>
        <w:tc>
          <w:tcPr>
            <w:tcW w:w="78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14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28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28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r>
      <w:tr>
        <w:trPr/>
        <w:tc>
          <w:tcPr>
            <w:tcW w:w="2566" w:type="dxa"/>
            <w:tcBorders/>
            <w:vAlign w:val="center"/>
          </w:tcPr>
          <w:p>
            <w:pPr>
              <w:pStyle w:val="TableContents"/>
              <w:bidi w:val="0"/>
              <w:spacing w:before="0" w:after="1"/>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center"/>
              <w:rPr/>
            </w:pPr>
            <w:r>
              <w:rPr/>
              <w:t>  ​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Sales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1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48,443</w:t>
            </w:r>
          </w:p>
        </w:tc>
        <w:tc>
          <w:tcPr>
            <w:tcW w:w="146" w:type="dxa"/>
            <w:tcBorders/>
            <w:shd w:fill="CCEEFF" w:val="clear"/>
            <w:vAlign w:val="center"/>
          </w:tcPr>
          <w:p>
            <w:pPr>
              <w:pStyle w:val="TableContents"/>
              <w:bidi w:val="0"/>
              <w:spacing w:before="0" w:after="1"/>
              <w:ind w:left="0" w:right="0" w:hanging="0"/>
              <w:jc w:val="righ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700</w:t>
            </w:r>
          </w:p>
        </w:tc>
        <w:tc>
          <w:tcPr>
            <w:tcW w:w="1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5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1,083</w:t>
            </w:r>
          </w:p>
        </w:tc>
        <w:tc>
          <w:tcPr>
            <w:tcW w:w="28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9,019</w:t>
            </w:r>
          </w:p>
        </w:tc>
        <w:tc>
          <w:tcPr>
            <w:tcW w:w="28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(27,614)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31,631</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1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48,443</w:t>
            </w:r>
          </w:p>
        </w:tc>
        <w:tc>
          <w:tcPr>
            <w:tcW w:w="146"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700</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3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1,083</w:t>
            </w:r>
          </w:p>
        </w:tc>
        <w:tc>
          <w:tcPr>
            <w:tcW w:w="28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9,019</w:t>
            </w:r>
          </w:p>
        </w:tc>
        <w:tc>
          <w:tcPr>
            <w:tcW w:w="28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(27,614)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31,631</w:t>
            </w:r>
          </w:p>
        </w:tc>
      </w:tr>
    </w:tbl>
    <w:p>
      <w:pPr>
        <w:pStyle w:val="TextBody"/>
        <w:bidi w:val="0"/>
        <w:spacing w:before="0" w:after="240"/>
        <w:ind w:left="0" w:right="0" w:hanging="0"/>
        <w:jc w:val="both"/>
        <w:rPr/>
      </w:pPr>
      <w:r>
        <w:rPr/>
        <w:t>​</w:t>
      </w:r>
    </w:p>
    <w:tbl>
      <w:tblPr>
        <w:tblW w:w="8827" w:type="dxa"/>
        <w:jc w:val="left"/>
        <w:tblInd w:w="0" w:type="dxa"/>
        <w:tblLayout w:type="fixed"/>
        <w:tblCellMar>
          <w:top w:w="0" w:type="dxa"/>
          <w:left w:w="0" w:type="dxa"/>
          <w:bottom w:w="0" w:type="dxa"/>
          <w:right w:w="0" w:type="dxa"/>
        </w:tblCellMar>
      </w:tblPr>
      <w:tblGrid>
        <w:gridCol w:w="2566"/>
        <w:gridCol w:w="286"/>
        <w:gridCol w:w="192"/>
        <w:gridCol w:w="543"/>
        <w:gridCol w:w="286"/>
        <w:gridCol w:w="275"/>
        <w:gridCol w:w="505"/>
        <w:gridCol w:w="109"/>
        <w:gridCol w:w="286"/>
        <w:gridCol w:w="219"/>
        <w:gridCol w:w="532"/>
        <w:gridCol w:w="286"/>
        <w:gridCol w:w="223"/>
        <w:gridCol w:w="632"/>
        <w:gridCol w:w="286"/>
        <w:gridCol w:w="181"/>
        <w:gridCol w:w="526"/>
        <w:gridCol w:w="109"/>
        <w:gridCol w:w="181"/>
        <w:gridCol w:w="60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29410" cy="175260"/>
                      <wp:effectExtent l="0" t="0" r="0" b="0"/>
                      <wp:wrapNone/>
                      <wp:docPr id="151" name="Frame15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1610" cy="175260"/>
                      <wp:effectExtent l="0" t="0" r="0" b="0"/>
                      <wp:wrapNone/>
                      <wp:docPr id="152" name="Frame1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1920" cy="175260"/>
                      <wp:effectExtent l="0" t="0" r="0" b="0"/>
                      <wp:wrapNone/>
                      <wp:docPr id="153" name="Frame15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44805" cy="175260"/>
                      <wp:effectExtent l="0" t="0" r="0" b="0"/>
                      <wp:wrapNone/>
                      <wp:docPr id="154" name="Frame15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1610" cy="175260"/>
                      <wp:effectExtent l="0" t="0" r="0" b="0"/>
                      <wp:wrapNone/>
                      <wp:docPr id="155" name="Frame1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4625" cy="175260"/>
                      <wp:effectExtent l="0" t="0" r="0" b="0"/>
                      <wp:wrapNone/>
                      <wp:docPr id="156" name="Frame15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0675" cy="175260"/>
                      <wp:effectExtent l="0" t="0" r="0" b="0"/>
                      <wp:wrapNone/>
                      <wp:docPr id="157" name="Frame157"/>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1610" cy="175260"/>
                      <wp:effectExtent l="0" t="0" r="0" b="0"/>
                      <wp:wrapNone/>
                      <wp:docPr id="159" name="Frame1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9065" cy="175260"/>
                      <wp:effectExtent l="0" t="0" r="0" b="0"/>
                      <wp:wrapNone/>
                      <wp:docPr id="160" name="Frame16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37820" cy="175260"/>
                      <wp:effectExtent l="0" t="0" r="0" b="0"/>
                      <wp:wrapNone/>
                      <wp:docPr id="161" name="Frame16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62" name="Frame1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1605" cy="175260"/>
                      <wp:effectExtent l="0" t="0" r="0" b="0"/>
                      <wp:wrapNone/>
                      <wp:docPr id="163" name="Frame16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01320" cy="175260"/>
                      <wp:effectExtent l="0" t="0" r="0" b="0"/>
                      <wp:wrapNone/>
                      <wp:docPr id="164" name="Frame164"/>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1610" cy="175260"/>
                      <wp:effectExtent l="0" t="0" r="0" b="0"/>
                      <wp:wrapNone/>
                      <wp:docPr id="165" name="Frame1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4935" cy="175260"/>
                      <wp:effectExtent l="0" t="0" r="0" b="0"/>
                      <wp:wrapNone/>
                      <wp:docPr id="166" name="Frame1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34010" cy="175260"/>
                      <wp:effectExtent l="0" t="0" r="0" b="0"/>
                      <wp:wrapNone/>
                      <wp:docPr id="167" name="Frame16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4935" cy="175260"/>
                      <wp:effectExtent l="0" t="0" r="0" b="0"/>
                      <wp:wrapNone/>
                      <wp:docPr id="169" name="Frame1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83540" cy="175260"/>
                      <wp:effectExtent l="0" t="0" r="0" b="0"/>
                      <wp:wrapNone/>
                      <wp:docPr id="170" name="Frame17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color w:val="0563C1"/>
              </w:rPr>
            </w:pPr>
            <w:r>
              <w:rPr>
                <w:color w:val="0563C1"/>
              </w:rPr>
              <w:t>​</w:t>
            </w:r>
          </w:p>
        </w:tc>
        <w:tc>
          <w:tcPr>
            <w:tcW w:w="286" w:type="dxa"/>
            <w:tcBorders/>
            <w:vAlign w:val="center"/>
          </w:tcPr>
          <w:p>
            <w:pPr>
              <w:pStyle w:val="TableContents"/>
              <w:bidi w:val="0"/>
              <w:spacing w:before="0" w:after="0"/>
              <w:ind w:left="0" w:right="0" w:hanging="0"/>
              <w:jc w:val="left"/>
              <w:rPr/>
            </w:pPr>
            <w:r>
              <w:rPr/>
              <w:t>​</w:t>
            </w:r>
          </w:p>
        </w:tc>
        <w:tc>
          <w:tcPr>
            <w:tcW w:w="73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c>
          <w:tcPr>
            <w:tcW w:w="28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2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r>
      <w:tr>
        <w:trPr/>
        <w:tc>
          <w:tcPr>
            <w:tcW w:w="25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73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286" w:type="dxa"/>
            <w:tcBorders/>
            <w:vAlign w:val="center"/>
          </w:tcPr>
          <w:p>
            <w:pPr>
              <w:pStyle w:val="TableContents"/>
              <w:bidi w:val="0"/>
              <w:spacing w:before="0" w:after="0"/>
              <w:ind w:left="0" w:right="0" w:hanging="0"/>
              <w:jc w:val="center"/>
              <w:rPr/>
            </w:pPr>
            <w:r>
              <w:rPr/>
              <w:t>​</w:t>
            </w:r>
          </w:p>
        </w:tc>
        <w:tc>
          <w:tcPr>
            <w:tcW w:w="275" w:type="dxa"/>
            <w:tcBorders/>
            <w:vAlign w:val="center"/>
          </w:tcPr>
          <w:p>
            <w:pPr>
              <w:pStyle w:val="TableContents"/>
              <w:bidi w:val="0"/>
              <w:spacing w:before="0" w:after="0"/>
              <w:ind w:left="0" w:right="0" w:hanging="0"/>
              <w:jc w:val="center"/>
              <w:rPr/>
            </w:pPr>
            <w:r>
              <w:rPr/>
              <w:t>​</w:t>
            </w:r>
          </w:p>
        </w:tc>
        <w:tc>
          <w:tcPr>
            <w:tcW w:w="5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28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73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286"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28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286" w:type="dxa"/>
            <w:tcBorders/>
            <w:vAlign w:val="center"/>
          </w:tcPr>
          <w:p>
            <w:pPr>
              <w:pStyle w:val="TableContents"/>
              <w:bidi w:val="0"/>
              <w:spacing w:before="0" w:after="0"/>
              <w:ind w:left="0" w:right="0" w:hanging="0"/>
              <w:jc w:val="center"/>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w:t>
            </w:r>
          </w:p>
        </w:tc>
      </w:tr>
      <w:tr>
        <w:trPr/>
        <w:tc>
          <w:tcPr>
            <w:tcW w:w="256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  ​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  ​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28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28,187</w:t>
            </w:r>
          </w:p>
        </w:tc>
        <w:tc>
          <w:tcPr>
            <w:tcW w:w="286"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764</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pPr>
            <w:r>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1,665</w:t>
            </w:r>
          </w:p>
        </w:tc>
        <w:tc>
          <w:tcPr>
            <w:tcW w:w="28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11,820</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(8,233)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34,203</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ClearPoint Equity Investments</w:t>
            </w:r>
          </w:p>
        </w:tc>
        <w:tc>
          <w:tcPr>
            <w:tcW w:w="28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10,637</w:t>
            </w:r>
          </w:p>
        </w:tc>
        <w:tc>
          <w:tcPr>
            <w:tcW w:w="286"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righ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10,681</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28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38,824</w:t>
            </w:r>
          </w:p>
        </w:tc>
        <w:tc>
          <w:tcPr>
            <w:tcW w:w="286"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1,665</w:t>
            </w:r>
          </w:p>
        </w:tc>
        <w:tc>
          <w:tcPr>
            <w:tcW w:w="28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11,820</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(8,233)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shd w:fill="CCEEFF" w:val="clear"/>
            <w:vAlign w:val="center"/>
          </w:tcPr>
          <w:p>
            <w:pPr>
              <w:pStyle w:val="TableContents"/>
              <w:bidi w:val="0"/>
              <w:spacing w:before="0" w:after="0"/>
              <w:ind w:left="0" w:right="48" w:hanging="0"/>
              <w:jc w:val="right"/>
              <w:rPr>
                <w:rFonts w:ascii="Times New Roman;Times;serif" w:hAnsi="Times New Roman;Times;serif"/>
                <w:sz w:val="14"/>
              </w:rPr>
            </w:pPr>
            <w:r>
              <w:rPr>
                <w:rFonts w:ascii="Times New Roman;Times;serif" w:hAnsi="Times New Roman;Times;serif"/>
                <w:sz w:val="14"/>
              </w:rPr>
              <w:t>44,884</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8809" w:type="dxa"/>
        <w:jc w:val="left"/>
        <w:tblInd w:w="0" w:type="dxa"/>
        <w:tblLayout w:type="fixed"/>
        <w:tblCellMar>
          <w:top w:w="0" w:type="dxa"/>
          <w:left w:w="0" w:type="dxa"/>
          <w:bottom w:w="0" w:type="dxa"/>
          <w:right w:w="0" w:type="dxa"/>
        </w:tblCellMar>
      </w:tblPr>
      <w:tblGrid>
        <w:gridCol w:w="2566"/>
        <w:gridCol w:w="146"/>
        <w:gridCol w:w="231"/>
        <w:gridCol w:w="654"/>
        <w:gridCol w:w="146"/>
        <w:gridCol w:w="228"/>
        <w:gridCol w:w="552"/>
        <w:gridCol w:w="146"/>
        <w:gridCol w:w="286"/>
        <w:gridCol w:w="219"/>
        <w:gridCol w:w="532"/>
        <w:gridCol w:w="286"/>
        <w:gridCol w:w="223"/>
        <w:gridCol w:w="632"/>
        <w:gridCol w:w="286"/>
        <w:gridCol w:w="181"/>
        <w:gridCol w:w="601"/>
        <w:gridCol w:w="109"/>
        <w:gridCol w:w="181"/>
        <w:gridCol w:w="60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29410" cy="175260"/>
                      <wp:effectExtent l="0" t="0" r="0" b="0"/>
                      <wp:wrapNone/>
                      <wp:docPr id="171" name="Frame17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2" name="Frame1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6685" cy="175260"/>
                      <wp:effectExtent l="0" t="0" r="0" b="0"/>
                      <wp:wrapNone/>
                      <wp:docPr id="173" name="Frame17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15290" cy="175260"/>
                      <wp:effectExtent l="0" t="0" r="0" b="0"/>
                      <wp:wrapNone/>
                      <wp:docPr id="174" name="Frame17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2710" cy="175260"/>
                      <wp:effectExtent l="0" t="0" r="0" b="0"/>
                      <wp:wrapNone/>
                      <wp:docPr id="175" name="Frame1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4780" cy="175260"/>
                      <wp:effectExtent l="0" t="0" r="0" b="0"/>
                      <wp:wrapNone/>
                      <wp:docPr id="176" name="Frame17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50520" cy="175260"/>
                      <wp:effectExtent l="0" t="0" r="0" b="0"/>
                      <wp:wrapNone/>
                      <wp:docPr id="177" name="Frame177"/>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2710" cy="175260"/>
                      <wp:effectExtent l="0" t="0" r="0" b="0"/>
                      <wp:wrapNone/>
                      <wp:docPr id="178" name="Frame1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1610" cy="175260"/>
                      <wp:effectExtent l="0" t="0" r="0" b="0"/>
                      <wp:wrapNone/>
                      <wp:docPr id="179" name="Frame17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9065" cy="175260"/>
                      <wp:effectExtent l="0" t="0" r="0" b="0"/>
                      <wp:wrapNone/>
                      <wp:docPr id="180" name="Frame18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7820" cy="175260"/>
                      <wp:effectExtent l="0" t="0" r="0" b="0"/>
                      <wp:wrapNone/>
                      <wp:docPr id="181" name="Frame18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1610" cy="175260"/>
                      <wp:effectExtent l="0" t="0" r="0" b="0"/>
                      <wp:wrapNone/>
                      <wp:docPr id="182" name="Frame18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1605" cy="175260"/>
                      <wp:effectExtent l="0" t="0" r="0" b="0"/>
                      <wp:wrapNone/>
                      <wp:docPr id="183" name="Frame18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01320" cy="175260"/>
                      <wp:effectExtent l="0" t="0" r="0" b="0"/>
                      <wp:wrapNone/>
                      <wp:docPr id="184" name="Frame184"/>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1610" cy="175260"/>
                      <wp:effectExtent l="0" t="0" r="0" b="0"/>
                      <wp:wrapNone/>
                      <wp:docPr id="185" name="Frame1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4935" cy="175260"/>
                      <wp:effectExtent l="0" t="0" r="0" b="0"/>
                      <wp:wrapNone/>
                      <wp:docPr id="186" name="Frame1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635" cy="175260"/>
                      <wp:effectExtent l="0" t="0" r="0" b="0"/>
                      <wp:wrapNone/>
                      <wp:docPr id="187"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4935" cy="175260"/>
                      <wp:effectExtent l="0" t="0" r="0" b="0"/>
                      <wp:wrapNone/>
                      <wp:docPr id="189" name="Frame1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83540" cy="175260"/>
                      <wp:effectExtent l="0" t="0" r="0" b="0"/>
                      <wp:wrapNone/>
                      <wp:docPr id="190" name="Frame19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Ending</w:t>
            </w:r>
          </w:p>
        </w:tc>
        <w:tc>
          <w:tcPr>
            <w:tcW w:w="1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2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r>
      <w:tr>
        <w:trPr/>
        <w:tc>
          <w:tcPr>
            <w:tcW w:w="25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146"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center"/>
              <w:rPr/>
            </w:pPr>
            <w:r>
              <w:rPr/>
              <w:t>​</w:t>
            </w:r>
          </w:p>
        </w:tc>
        <w:tc>
          <w:tcPr>
            <w:tcW w:w="552"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28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146"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1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28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28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w:t>
            </w:r>
          </w:p>
        </w:tc>
      </w:tr>
      <w:tr>
        <w:trPr/>
        <w:tc>
          <w:tcPr>
            <w:tcW w:w="256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31,596</w:t>
            </w:r>
          </w:p>
        </w:tc>
        <w:tc>
          <w:tcPr>
            <w:tcW w:w="14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1,914</w:t>
            </w:r>
          </w:p>
        </w:tc>
        <w:tc>
          <w:tcPr>
            <w:tcW w:w="1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pPr>
            <w:r>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2,644</w:t>
            </w:r>
          </w:p>
        </w:tc>
        <w:tc>
          <w:tcPr>
            <w:tcW w:w="28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32,976</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(37,499)</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31,631</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1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31,596</w:t>
            </w:r>
          </w:p>
        </w:tc>
        <w:tc>
          <w:tcPr>
            <w:tcW w:w="14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1,914</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2,644</w:t>
            </w:r>
          </w:p>
        </w:tc>
        <w:tc>
          <w:tcPr>
            <w:tcW w:w="28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32,976</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(37,499)</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vAlign w:val="center"/>
          </w:tcPr>
          <w:p>
            <w:pPr>
              <w:pStyle w:val="TableContents"/>
              <w:bidi w:val="0"/>
              <w:spacing w:before="0" w:after="0"/>
              <w:ind w:left="0" w:right="48" w:hanging="0"/>
              <w:jc w:val="right"/>
              <w:rPr>
                <w:rFonts w:ascii="Times New Roman;Times;serif" w:hAnsi="Times New Roman;Times;serif"/>
                <w:sz w:val="14"/>
              </w:rPr>
            </w:pPr>
            <w:r>
              <w:rPr>
                <w:rFonts w:ascii="Times New Roman;Times;serif" w:hAnsi="Times New Roman;Times;serif"/>
                <w:sz w:val="14"/>
              </w:rPr>
              <w:t>31,631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9451" w:type="dxa"/>
        <w:jc w:val="left"/>
        <w:tblInd w:w="0" w:type="dxa"/>
        <w:tblLayout w:type="fixed"/>
        <w:tblCellMar>
          <w:top w:w="0" w:type="dxa"/>
          <w:left w:w="0" w:type="dxa"/>
          <w:bottom w:w="0" w:type="dxa"/>
          <w:right w:w="0" w:type="dxa"/>
        </w:tblCellMar>
      </w:tblPr>
      <w:tblGrid>
        <w:gridCol w:w="2566"/>
        <w:gridCol w:w="286"/>
        <w:gridCol w:w="231"/>
        <w:gridCol w:w="654"/>
        <w:gridCol w:w="286"/>
        <w:gridCol w:w="225"/>
        <w:gridCol w:w="600"/>
        <w:gridCol w:w="286"/>
        <w:gridCol w:w="286"/>
        <w:gridCol w:w="219"/>
        <w:gridCol w:w="532"/>
        <w:gridCol w:w="286"/>
        <w:gridCol w:w="223"/>
        <w:gridCol w:w="632"/>
        <w:gridCol w:w="286"/>
        <w:gridCol w:w="181"/>
        <w:gridCol w:w="601"/>
        <w:gridCol w:w="286"/>
        <w:gridCol w:w="181"/>
        <w:gridCol w:w="60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29410" cy="175260"/>
                      <wp:effectExtent l="0" t="0" r="0" b="0"/>
                      <wp:wrapNone/>
                      <wp:docPr id="191" name="Frame19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81610" cy="175260"/>
                      <wp:effectExtent l="0" t="0" r="0" b="0"/>
                      <wp:wrapNone/>
                      <wp:docPr id="192" name="Frame1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6685" cy="175260"/>
                      <wp:effectExtent l="0" t="0" r="0" b="0"/>
                      <wp:wrapNone/>
                      <wp:docPr id="193" name="Frame19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15290" cy="175260"/>
                      <wp:effectExtent l="0" t="0" r="0" b="0"/>
                      <wp:wrapNone/>
                      <wp:docPr id="194" name="Frame19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81610" cy="175260"/>
                      <wp:effectExtent l="0" t="0" r="0" b="0"/>
                      <wp:wrapNone/>
                      <wp:docPr id="195" name="Frame19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2875" cy="175260"/>
                      <wp:effectExtent l="0" t="0" r="0" b="0"/>
                      <wp:wrapNone/>
                      <wp:docPr id="196" name="Frame19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81000" cy="175260"/>
                      <wp:effectExtent l="0" t="0" r="0" b="0"/>
                      <wp:wrapNone/>
                      <wp:docPr id="197" name="Frame197"/>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81610" cy="175260"/>
                      <wp:effectExtent l="0" t="0" r="0" b="0"/>
                      <wp:wrapNone/>
                      <wp:docPr id="198" name="Frame19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81610" cy="175260"/>
                      <wp:effectExtent l="0" t="0" r="0" b="0"/>
                      <wp:wrapNone/>
                      <wp:docPr id="199" name="Frame1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9065" cy="175260"/>
                      <wp:effectExtent l="0" t="0" r="0" b="0"/>
                      <wp:wrapNone/>
                      <wp:docPr id="200" name="Frame20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37820" cy="175260"/>
                      <wp:effectExtent l="0" t="0" r="0" b="0"/>
                      <wp:wrapNone/>
                      <wp:docPr id="201" name="Frame20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1610" cy="175260"/>
                      <wp:effectExtent l="0" t="0" r="0" b="0"/>
                      <wp:wrapNone/>
                      <wp:docPr id="202" name="Frame2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1605" cy="175260"/>
                      <wp:effectExtent l="0" t="0" r="0" b="0"/>
                      <wp:wrapNone/>
                      <wp:docPr id="203" name="Frame20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1320" cy="175260"/>
                      <wp:effectExtent l="0" t="0" r="0" b="0"/>
                      <wp:wrapNone/>
                      <wp:docPr id="204" name="Frame204"/>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1610" cy="175260"/>
                      <wp:effectExtent l="0" t="0" r="0" b="0"/>
                      <wp:wrapNone/>
                      <wp:docPr id="205" name="Frame2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14935" cy="175260"/>
                      <wp:effectExtent l="0" t="0" r="0" b="0"/>
                      <wp:wrapNone/>
                      <wp:docPr id="206" name="Frame2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81635" cy="175260"/>
                      <wp:effectExtent l="0" t="0" r="0" b="0"/>
                      <wp:wrapNone/>
                      <wp:docPr id="207" name="Frame2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1610" cy="175260"/>
                      <wp:effectExtent l="0" t="0" r="0" b="0"/>
                      <wp:wrapNone/>
                      <wp:docPr id="208" name="Frame20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4935" cy="175260"/>
                      <wp:effectExtent l="0" t="0" r="0" b="0"/>
                      <wp:wrapNone/>
                      <wp:docPr id="209"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83540" cy="175260"/>
                      <wp:effectExtent l="0" t="0" r="0" b="0"/>
                      <wp:wrapNone/>
                      <wp:docPr id="210" name="Frame21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color w:val="0563C1"/>
              </w:rPr>
            </w:pPr>
            <w:r>
              <w:rPr>
                <w:color w:val="0563C1"/>
              </w:rPr>
              <w:t>​</w:t>
            </w:r>
          </w:p>
        </w:tc>
        <w:tc>
          <w:tcPr>
            <w:tcW w:w="28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c>
          <w:tcPr>
            <w:tcW w:w="28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2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r>
      <w:tr>
        <w:trPr/>
        <w:tc>
          <w:tcPr>
            <w:tcW w:w="25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286" w:type="dxa"/>
            <w:tcBorders/>
            <w:vAlign w:val="center"/>
          </w:tcPr>
          <w:p>
            <w:pPr>
              <w:pStyle w:val="TableContents"/>
              <w:bidi w:val="0"/>
              <w:spacing w:before="0" w:after="0"/>
              <w:ind w:left="0" w:right="0" w:hanging="0"/>
              <w:jc w:val="center"/>
              <w:rPr/>
            </w:pPr>
            <w:r>
              <w:rPr/>
              <w:t>​</w:t>
            </w:r>
          </w:p>
        </w:tc>
        <w:tc>
          <w:tcPr>
            <w:tcW w:w="225" w:type="dxa"/>
            <w:tcBorders/>
            <w:vAlign w:val="center"/>
          </w:tcPr>
          <w:p>
            <w:pPr>
              <w:pStyle w:val="TableContents"/>
              <w:bidi w:val="0"/>
              <w:spacing w:before="0" w:after="0"/>
              <w:ind w:left="0" w:right="0" w:hanging="0"/>
              <w:jc w:val="center"/>
              <w:rPr/>
            </w:pPr>
            <w:r>
              <w:rPr/>
              <w:t>​</w:t>
            </w:r>
          </w:p>
        </w:tc>
        <w:tc>
          <w:tcPr>
            <w:tcW w:w="600"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28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286" w:type="dxa"/>
            <w:tcBorders/>
            <w:vAlign w:val="center"/>
          </w:tcPr>
          <w:p>
            <w:pPr>
              <w:pStyle w:val="TableContents"/>
              <w:bidi w:val="0"/>
              <w:spacing w:before="0" w:after="0"/>
              <w:ind w:left="0" w:right="0" w:hanging="0"/>
              <w:jc w:val="center"/>
              <w:rPr/>
            </w:pPr>
            <w:r>
              <w:rPr/>
              <w:t>​</w:t>
            </w:r>
          </w:p>
        </w:tc>
        <w:tc>
          <w:tcPr>
            <w:tcW w:w="82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2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28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28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w:t>
            </w:r>
          </w:p>
        </w:tc>
      </w:tr>
      <w:tr>
        <w:trPr/>
        <w:tc>
          <w:tcPr>
            <w:tcW w:w="256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  ​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Sales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28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29,034</w:t>
            </w:r>
          </w:p>
        </w:tc>
        <w:tc>
          <w:tcPr>
            <w:tcW w:w="28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1,538</w:t>
            </w:r>
          </w:p>
        </w:tc>
        <w:tc>
          <w:tcPr>
            <w:tcW w:w="2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pPr>
            <w:r>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3,731</w:t>
            </w:r>
          </w:p>
        </w:tc>
        <w:tc>
          <w:tcPr>
            <w:tcW w:w="28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17,029</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(17,129)</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34,203</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ClearPoint Equity Investments</w:t>
            </w:r>
          </w:p>
        </w:tc>
        <w:tc>
          <w:tcPr>
            <w:tcW w:w="28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13,759</w:t>
            </w:r>
          </w:p>
        </w:tc>
        <w:tc>
          <w:tcPr>
            <w:tcW w:w="28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righ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(3,078)</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righ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10,681</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28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42,793</w:t>
            </w:r>
          </w:p>
        </w:tc>
        <w:tc>
          <w:tcPr>
            <w:tcW w:w="28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(1,540)</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3,731</w:t>
            </w:r>
          </w:p>
        </w:tc>
        <w:tc>
          <w:tcPr>
            <w:tcW w:w="286"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17,029</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(17,129)</w:t>
            </w:r>
          </w:p>
        </w:tc>
        <w:tc>
          <w:tcPr>
            <w:tcW w:w="2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04" w:type="dxa"/>
            <w:tcBorders/>
            <w:shd w:fill="CCEEFF" w:val="clear"/>
            <w:vAlign w:val="center"/>
          </w:tcPr>
          <w:p>
            <w:pPr>
              <w:pStyle w:val="TableContents"/>
              <w:bidi w:val="0"/>
              <w:spacing w:before="0" w:after="0"/>
              <w:ind w:left="0" w:right="48" w:hanging="0"/>
              <w:jc w:val="right"/>
              <w:rPr>
                <w:rFonts w:ascii="Times New Roman;Times;serif" w:hAnsi="Times New Roman;Times;serif"/>
                <w:sz w:val="14"/>
              </w:rPr>
            </w:pPr>
            <w:r>
              <w:rPr>
                <w:rFonts w:ascii="Times New Roman;Times;serif" w:hAnsi="Times New Roman;Times;serif"/>
                <w:sz w:val="14"/>
              </w:rPr>
              <w:t>44,884</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1302" w:name="Tc_3zd-LIOh0kmoBiINhKcCcw_7_11"/>
      <w:bookmarkStart w:id="1303" w:name="Tc_JPN-meNIV0OpxzjS8nlx2g_7_8"/>
      <w:bookmarkStart w:id="1304" w:name="Tc_p-mXSETKUUCldhDR7Xhk_A_7_5"/>
      <w:bookmarkStart w:id="1305" w:name="Tc_8HUsHeNmkEyAtGZM0csixw_7_2"/>
      <w:bookmarkStart w:id="1306" w:name="Tc_g8NPHBptKU2KrNeqRZZShA_7_0"/>
      <w:bookmarkStart w:id="1307" w:name="Tc_9BS7vJ3pEU-b2r1Uu6DN4A_6_9"/>
      <w:bookmarkStart w:id="1308" w:name="Tc_OHAmxDxJI0GUdB0ue1x-4g_6_0"/>
      <w:bookmarkStart w:id="1309" w:name="Tc_EULk0bTy9kiokmeuB0t2Dw_5_0"/>
      <w:bookmarkStart w:id="1310" w:name="Tc_qA9P0q4hckyrZFJ6OvGY3g_4_11"/>
      <w:bookmarkStart w:id="1311" w:name="Tc_KBdVPODddU2zjTk4Ar7LTw_4_8"/>
      <w:bookmarkStart w:id="1312" w:name="Tc_6JeCp3pZA02tNhwlG7C8bQ_4_5"/>
      <w:bookmarkStart w:id="1313" w:name="Tc_-3cfdkWn1US5c8uID9Dtcg_4_2"/>
      <w:bookmarkStart w:id="1314" w:name="Tc_bcE8ujn3Fki_n7OrYuBHqQ_4_0"/>
      <w:bookmarkStart w:id="1315" w:name="Tc_JWUjOCLtOkipbdoJz9uomA_3_11"/>
      <w:bookmarkStart w:id="1316" w:name="Tc_feW39YlVdkiy4cZlmmFZZg_3_8"/>
      <w:bookmarkStart w:id="1317" w:name="Tc_xjKIOSn0JUqt1jaDqkZzJw_3_5"/>
      <w:bookmarkStart w:id="1318" w:name="Tc_XtGkQJvINEiAoh-ZkZey-Q_3_2"/>
      <w:bookmarkStart w:id="1319" w:name="Tc_xuihRFFImkmZGa1npAlEMQ_2_5"/>
      <w:bookmarkStart w:id="1320" w:name="Tc_00fbwMM2RUWo4qYWh4RsTg_2_2"/>
      <w:bookmarkStart w:id="1321" w:name="Tc_18nuMNrQDkSPURtHDO2x0g_1_2"/>
      <w:bookmarkStart w:id="1322" w:name="_d5b47f37_2ed4_4fd2_9a58_a84d48ec6471"/>
      <w:bookmarkStart w:id="1323" w:name="Tc_pIe6Lj2fdUyD04yPFlAx5w_7_11"/>
      <w:bookmarkStart w:id="1324" w:name="Tc_UHVERsmP4kq5r8pFJF0CQQ_7_8"/>
      <w:bookmarkStart w:id="1325" w:name="Tc_iV0WYyJ5mk267vNEFKZSyg_7_5"/>
      <w:bookmarkStart w:id="1326" w:name="Tc_hJzZKWEhOUuhtAlYyMrv1w_7_2"/>
      <w:bookmarkStart w:id="1327" w:name="Tc_g0NCs4ILhUipcRAo20k8hQ_7_0"/>
      <w:bookmarkStart w:id="1328" w:name="Tc_f_cThOfX0ka8zuXxYZf7lg_6_0"/>
      <w:bookmarkStart w:id="1329" w:name="Tc_IyJ9FTXueEmR1oVfksRKeg_5_0"/>
      <w:bookmarkStart w:id="1330" w:name="Tc_zyPDD-p4GUudar7rSW4Dwg_4_11"/>
      <w:bookmarkStart w:id="1331" w:name="Tc_hZKXQNJCOkiJbBsjbQOUEQ_4_8"/>
      <w:bookmarkStart w:id="1332" w:name="Tc_bgDAI-SPDk6FfgUgDJBAkA_4_5"/>
      <w:bookmarkStart w:id="1333" w:name="Tc_MC_-g8WKGEe2bUoZuI2HBw_4_2"/>
      <w:bookmarkStart w:id="1334" w:name="Tc_zTAgoTkL8kuUr1HiKH3vcg_4_0"/>
      <w:bookmarkStart w:id="1335" w:name="Tc__XFWarTAwUmEKix_blFQxg_3_11"/>
      <w:bookmarkStart w:id="1336" w:name="Tc_dtlOls2E-kui2w3AMj6DwQ_3_8"/>
      <w:bookmarkStart w:id="1337" w:name="Tc_K_VF8TXEwkSzuKAOCQ1IEQ_3_5"/>
      <w:bookmarkStart w:id="1338" w:name="Tc_CnEIRmtN_Ei5XOY2HCjuFw_3_2"/>
      <w:bookmarkStart w:id="1339" w:name="Tc_PSvsyEEZpUaaAnfbYL6YSw_2_5"/>
      <w:bookmarkStart w:id="1340" w:name="Tc_PKhtNZB6mEqoNKb7kHzqFw_2_2"/>
      <w:bookmarkStart w:id="1341" w:name="Tc_V2aair4d60eaebUH7KQAAQ_1_2"/>
      <w:bookmarkStart w:id="1342" w:name="_6887e454_2945_4bdf_9e9d_659ac4fb9235"/>
      <w:bookmarkStart w:id="1343" w:name="Tc_2gg4TcDhfU6m8BBXDHRnJA_8_12"/>
      <w:bookmarkStart w:id="1344" w:name="Tc_u6dfH5UQxUK5SvlKkCuUsA_8_11"/>
      <w:bookmarkStart w:id="1345" w:name="Tc_KjkFUusJHE2FfjyKSt6edA_8_9"/>
      <w:bookmarkStart w:id="1346" w:name="Tc_PkMH64kslUKbE7nFsKvXEQ_8_8"/>
      <w:bookmarkStart w:id="1347" w:name="Tc_9PpIELWoV0mqSt7uJmifXw_8_5"/>
      <w:bookmarkStart w:id="1348" w:name="Tc_7P_iDbFq8kOOjtGGR5Drog_8_2"/>
      <w:bookmarkStart w:id="1349" w:name="Tc_gIYJCqnEo0ioodOZiq8YqA_8_0"/>
      <w:bookmarkStart w:id="1350" w:name="Tc_P16CTBZwSEaB8Spvn4-BGw_7_12"/>
      <w:bookmarkStart w:id="1351" w:name="Tc_UXA5AkG14UG5A2ol70LAlA_7_11"/>
      <w:bookmarkStart w:id="1352" w:name="Tc_ZLPuXAKxqEW8EPrj7CYSsw_7_8"/>
      <w:bookmarkStart w:id="1353" w:name="Tc_GGkPBuYqg0ujNTQKS9nm_g_7_6"/>
      <w:bookmarkStart w:id="1354" w:name="Tc_Jaonou6x_EKCOaPa0gDaFg_7_5"/>
      <w:bookmarkStart w:id="1355" w:name="Tc_ob_7p_rUA0ycdVsX0fuVUA_7_2"/>
      <w:bookmarkStart w:id="1356" w:name="Tc_4BqCUVhC-UancZpQ_rwxgA_7_0"/>
      <w:bookmarkStart w:id="1357" w:name="Tc_5dn01GthfE-bY3RWReulzg_6_11"/>
      <w:bookmarkStart w:id="1358" w:name="Tc_It5i05pnLUuZBID9gIlRTg_6_8"/>
      <w:bookmarkStart w:id="1359" w:name="Tc_4mlhLBB4zEmG3NN4loU3Tw_6_5"/>
      <w:bookmarkStart w:id="1360" w:name="Tc_hfB9QgDSqkaATZp-zCUNuQ_6_2"/>
      <w:bookmarkStart w:id="1361" w:name="Tc_hhHlCMsIx0uONgctoZJWLw_5_11"/>
      <w:bookmarkStart w:id="1362" w:name="Tc_xCqV4I99aU-hQ4EcIN7lsw_5_8"/>
      <w:bookmarkStart w:id="1363" w:name="Tc_rpokRd5hX0mmIPd_lDY4Rw_5_5"/>
      <w:bookmarkStart w:id="1364" w:name="Tc_psdVd8rjAU2LaOREzch5RA_4_11"/>
      <w:bookmarkStart w:id="1365" w:name="Tc_JZu4_6n2ZUqrGgOAGPQRFQ_4_8"/>
      <w:bookmarkStart w:id="1366" w:name="Tc_v1c1bRRseU-jDaZHXkbyhA_4_5"/>
      <w:bookmarkStart w:id="1367" w:name="Tc_PeCPB5GqTU6sB9AXTp14Wg_3_11"/>
      <w:bookmarkStart w:id="1368" w:name="Tc_NTCsDDqen0W4FwhuWjNnJg_3_8"/>
      <w:bookmarkStart w:id="1369" w:name="Tc_H_ke6GKY90mlBKwvHPZEsA_3_5"/>
      <w:bookmarkStart w:id="1370" w:name="Tc_ykdoLeIW0Eut6GAprl4wvA_2_8"/>
      <w:bookmarkStart w:id="1371" w:name="Tc_pfNy5V0EHkSGJ5yyG87s3Q_2_5"/>
      <w:bookmarkStart w:id="1372" w:name="Tc_Y2QmA82IrU6vzSKb8Bn9Kw_1_2"/>
      <w:bookmarkStart w:id="1373" w:name="_60fc69b0_b813_43bf_b2b7_4be6d72b2d48"/>
      <w:bookmarkStart w:id="1374" w:name="Tc_gb148E5390yjmfeHb7FIKw_8_12"/>
      <w:bookmarkStart w:id="1375" w:name="Tc_pXkBjqQu0Ee9b-zsB_7tlg_8_11"/>
      <w:bookmarkStart w:id="1376" w:name="Tc_tyo1MvMEhEOh32Ox_BIqTw_8_9"/>
      <w:bookmarkStart w:id="1377" w:name="Tc_Y_puwSWlHEazU9va7vJEcA_8_8"/>
      <w:bookmarkStart w:id="1378" w:name="Tc_F8t5EjoJEkiBy_xNQRgzTw_8_5"/>
      <w:bookmarkStart w:id="1379" w:name="Tc_1cKbq2D7VUWQxNY3_vtKYg_8_2"/>
      <w:bookmarkStart w:id="1380" w:name="Tc_EAR-HChToEOJfg688wcKDA_8_0"/>
      <w:bookmarkStart w:id="1381" w:name="Tc_6kNpiHB2q0urG_MnVmroYg_7_12"/>
      <w:bookmarkStart w:id="1382" w:name="Tc_pTchlxcux0--InuaLFJ5Sw_7_11"/>
      <w:bookmarkStart w:id="1383" w:name="Tc_PPJFpoh1FEyflagkscKxEw_7_8"/>
      <w:bookmarkStart w:id="1384" w:name="Tc_VBPjmbQ2xU2F24NG5_cusg_7_6"/>
      <w:bookmarkStart w:id="1385" w:name="Tc_YwW8odRoUEeITFKR9skAqg_7_5"/>
      <w:bookmarkStart w:id="1386" w:name="Tc_hK8Mx16LHEK40NaMFfEqEg_7_2"/>
      <w:bookmarkStart w:id="1387" w:name="Tc_kYsSbiSMskyPPRvGjETMeg_7_0"/>
      <w:bookmarkStart w:id="1388" w:name="Tc_95K-xqAVv0eOQCMFVv_fSQ_6_11"/>
      <w:bookmarkStart w:id="1389" w:name="Tc_IcFQYMaGSkWqUZxbEEMYmw_6_8"/>
      <w:bookmarkStart w:id="1390" w:name="Tc_yyrC1pmBg0O8BoK1asNyLQ_6_5"/>
      <w:bookmarkStart w:id="1391" w:name="Tc_Tqd1P0DghUe9Zi1ifquTsw_6_2"/>
      <w:bookmarkStart w:id="1392" w:name="Tc_qNdbqQBUcU6KJhZ5YJqlNw_5_11"/>
      <w:bookmarkStart w:id="1393" w:name="Tc_zCCkavYyPUuea_q0HpvfUQ_5_8"/>
      <w:bookmarkStart w:id="1394" w:name="Tc_nYfuhi4g3EC85WzmBVldMg_5_5"/>
      <w:bookmarkStart w:id="1395" w:name="Tc_ATL45qqyiEaeBhOewl2QSg_4_11"/>
      <w:bookmarkStart w:id="1396" w:name="Tc_B6MmEBF4pUek6mOt_iDANw_4_8"/>
      <w:bookmarkStart w:id="1397" w:name="Tc_ZmGdtJQKsEC4zbxK_PMvTQ_4_5"/>
      <w:bookmarkStart w:id="1398" w:name="Tc_aauW-Bswhk61S0NhafJu7Q_3_11"/>
      <w:bookmarkStart w:id="1399" w:name="Tc_8a5jDqqsKEOisX6W3QvWsw_3_8"/>
      <w:bookmarkStart w:id="1400" w:name="Tc_N4FexD5gmEC4KNwmdTsq6A_3_5"/>
      <w:bookmarkStart w:id="1401" w:name="Tc_tnLUD_FdHk2K6JFon9ToTA_2_8"/>
      <w:bookmarkStart w:id="1402" w:name="Tc_RPIbbV25QEWLODixS74XcQ_2_5"/>
      <w:bookmarkStart w:id="1403" w:name="Tc_TeY8uxQnoUmG5H6jBgC1HQ_1_2"/>
      <w:bookmarkStart w:id="1404" w:name="_4139fd38_d9c5_4173_bae0_10fc47a1170c"/>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w:t>
      </w:r>
      <w:r>
        <w:rPr>
          <w:rFonts w:ascii="Times New Roman;Times;serif" w:hAnsi="Times New Roman;Times;serif"/>
          <w:sz w:val="20"/>
          <w:shd w:fill="FFFFFF" w:val="clear"/>
        </w:rPr>
        <w:t>inputs</w:t>
      </w:r>
      <w:r>
        <w:rPr>
          <w:rFonts w:ascii="Times New Roman;Times;serif" w:hAnsi="Times New Roman;Times;serif"/>
          <w:sz w:val="20"/>
        </w:rPr>
        <w:t xml:space="preserve"> other than quoted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represents the fair value using the hierarchy described above for the Company’s financial assets and liabilities that are required to be measured at fair value on a recurring basis as of June 30, 2026 and December 31, 2025:</w:t>
      </w:r>
    </w:p>
    <w:p>
      <w:pPr>
        <w:pStyle w:val="TextBody"/>
        <w:bidi w:val="0"/>
        <w:spacing w:before="0" w:after="0"/>
        <w:ind w:left="0" w:right="0" w:hanging="0"/>
        <w:jc w:val="left"/>
        <w:rPr/>
      </w:pPr>
      <w:r>
        <w:rPr/>
        <w:t>​</w:t>
      </w:r>
    </w:p>
    <w:tbl>
      <w:tblPr>
        <w:tblW w:w="9506" w:type="dxa"/>
        <w:jc w:val="left"/>
        <w:tblInd w:w="0" w:type="dxa"/>
        <w:tblLayout w:type="fixed"/>
        <w:tblCellMar>
          <w:top w:w="0" w:type="dxa"/>
          <w:left w:w="0" w:type="dxa"/>
          <w:bottom w:w="0" w:type="dxa"/>
          <w:right w:w="0" w:type="dxa"/>
        </w:tblCellMar>
      </w:tblPr>
      <w:tblGrid>
        <w:gridCol w:w="3556"/>
        <w:gridCol w:w="346"/>
        <w:gridCol w:w="211"/>
        <w:gridCol w:w="931"/>
        <w:gridCol w:w="346"/>
        <w:gridCol w:w="278"/>
        <w:gridCol w:w="893"/>
        <w:gridCol w:w="346"/>
        <w:gridCol w:w="211"/>
        <w:gridCol w:w="931"/>
        <w:gridCol w:w="346"/>
        <w:gridCol w:w="348"/>
        <w:gridCol w:w="763"/>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58060" cy="175260"/>
                      <wp:effectExtent l="0" t="0" r="0" b="0"/>
                      <wp:wrapNone/>
                      <wp:docPr id="211" name="Frame21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6530" cy="175260"/>
                      <wp:effectExtent l="0" t="0" r="0" b="0"/>
                      <wp:wrapNone/>
                      <wp:docPr id="216" name="Frame21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67055" cy="175260"/>
                      <wp:effectExtent l="0" t="0" r="0" b="0"/>
                      <wp:wrapNone/>
                      <wp:docPr id="217" name="Frame21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1185" cy="175260"/>
                      <wp:effectExtent l="0" t="0" r="0" b="0"/>
                      <wp:wrapNone/>
                      <wp:docPr id="220" name="Frame2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0980" cy="175260"/>
                      <wp:effectExtent l="0" t="0" r="0" b="0"/>
                      <wp:wrapNone/>
                      <wp:docPr id="222" name="Frame22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84505" cy="175260"/>
                      <wp:effectExtent l="0" t="0" r="0" b="0"/>
                      <wp:wrapNone/>
                      <wp:docPr id="223" name="Frame223"/>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0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 </w:t>
            </w:r>
          </w:p>
        </w:tc>
        <w:tc>
          <w:tcPr>
            <w:tcW w:w="34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1,147,564</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1,147,564</w:t>
            </w:r>
          </w:p>
        </w:tc>
        <w:tc>
          <w:tcPr>
            <w:tcW w:w="346"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31,631</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both"/>
        <w:rPr/>
      </w:pPr>
      <w:r>
        <w:rPr/>
        <w:t>​</w:t>
      </w:r>
    </w:p>
    <w:tbl>
      <w:tblPr>
        <w:tblW w:w="9206" w:type="dxa"/>
        <w:jc w:val="left"/>
        <w:tblInd w:w="0" w:type="dxa"/>
        <w:tblLayout w:type="fixed"/>
        <w:tblCellMar>
          <w:top w:w="0" w:type="dxa"/>
          <w:left w:w="0" w:type="dxa"/>
          <w:bottom w:w="0" w:type="dxa"/>
          <w:right w:w="0" w:type="dxa"/>
        </w:tblCellMar>
      </w:tblPr>
      <w:tblGrid>
        <w:gridCol w:w="3556"/>
        <w:gridCol w:w="346"/>
        <w:gridCol w:w="211"/>
        <w:gridCol w:w="781"/>
        <w:gridCol w:w="346"/>
        <w:gridCol w:w="278"/>
        <w:gridCol w:w="893"/>
        <w:gridCol w:w="346"/>
        <w:gridCol w:w="211"/>
        <w:gridCol w:w="781"/>
        <w:gridCol w:w="346"/>
        <w:gridCol w:w="348"/>
        <w:gridCol w:w="763"/>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58060" cy="175260"/>
                      <wp:effectExtent l="0" t="0" r="0" b="0"/>
                      <wp:wrapNone/>
                      <wp:docPr id="224" name="Frame22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5935" cy="175260"/>
                      <wp:effectExtent l="0" t="0" r="0" b="0"/>
                      <wp:wrapNone/>
                      <wp:docPr id="227" name="Frame2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6530" cy="175260"/>
                      <wp:effectExtent l="0" t="0" r="0" b="0"/>
                      <wp:wrapNone/>
                      <wp:docPr id="229" name="Frame22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67055" cy="175260"/>
                      <wp:effectExtent l="0" t="0" r="0" b="0"/>
                      <wp:wrapNone/>
                      <wp:docPr id="230" name="Frame23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20980" cy="175260"/>
                      <wp:effectExtent l="0" t="0" r="0" b="0"/>
                      <wp:wrapNone/>
                      <wp:docPr id="235" name="Frame23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84505" cy="175260"/>
                      <wp:effectExtent l="0" t="0" r="0" b="0"/>
                      <wp:wrapNone/>
                      <wp:docPr id="236" name="Frame236"/>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0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w:t>
            </w:r>
          </w:p>
        </w:tc>
        <w:tc>
          <w:tcPr>
            <w:tcW w:w="34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929,127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929,127</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31,596</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transfers of assets between Level 1, Level 2, or Level 3 of the fair value measurement hierarchy occurred during the three and six months ended June 30, 2026 and year ended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marketable securities accounted for as available for sale debt securities at June 30, 2026 and December 31, 2025:</w:t>
      </w:r>
    </w:p>
    <w:p>
      <w:pPr>
        <w:pStyle w:val="TextBody"/>
        <w:bidi w:val="0"/>
        <w:spacing w:before="0" w:after="0"/>
        <w:ind w:left="0" w:right="0" w:hanging="0"/>
        <w:jc w:val="left"/>
        <w:rPr/>
      </w:pPr>
      <w:r>
        <w:rPr/>
        <w:t>​</w:t>
      </w:r>
    </w:p>
    <w:tbl>
      <w:tblPr>
        <w:tblW w:w="7357" w:type="dxa"/>
        <w:jc w:val="left"/>
        <w:tblInd w:w="0" w:type="dxa"/>
        <w:tblLayout w:type="fixed"/>
        <w:tblCellMar>
          <w:top w:w="0" w:type="dxa"/>
          <w:left w:w="0" w:type="dxa"/>
          <w:bottom w:w="0" w:type="dxa"/>
          <w:right w:w="0" w:type="dxa"/>
        </w:tblCellMar>
      </w:tblPr>
      <w:tblGrid>
        <w:gridCol w:w="2146"/>
        <w:gridCol w:w="346"/>
        <w:gridCol w:w="211"/>
        <w:gridCol w:w="931"/>
        <w:gridCol w:w="346"/>
        <w:gridCol w:w="263"/>
        <w:gridCol w:w="263"/>
        <w:gridCol w:w="346"/>
        <w:gridCol w:w="211"/>
        <w:gridCol w:w="691"/>
        <w:gridCol w:w="346"/>
        <w:gridCol w:w="211"/>
        <w:gridCol w:w="104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62710" cy="175260"/>
                      <wp:effectExtent l="0" t="0" r="0" b="0"/>
                      <wp:wrapNone/>
                      <wp:docPr id="237" name="Frame237"/>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185" cy="175260"/>
                      <wp:effectExtent l="0" t="0" r="0" b="0"/>
                      <wp:wrapNone/>
                      <wp:docPr id="240" name="Frame2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7005" cy="175260"/>
                      <wp:effectExtent l="0" t="0" r="0" b="0"/>
                      <wp:wrapNone/>
                      <wp:docPr id="242" name="Frame24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7005" cy="175260"/>
                      <wp:effectExtent l="0" t="0" r="0" b="0"/>
                      <wp:wrapNone/>
                      <wp:docPr id="243" name="Frame24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64210" cy="175260"/>
                      <wp:effectExtent l="0" t="0" r="0" b="0"/>
                      <wp:wrapNone/>
                      <wp:docPr id="249" name="Frame24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6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left"/>
              <w:rPr/>
            </w:pPr>
            <w:r>
              <w:rPr/>
              <w:t> </w:t>
            </w:r>
          </w:p>
        </w:tc>
        <w:tc>
          <w:tcPr>
            <w:tcW w:w="17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134,989</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134,908</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510,870</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510,075</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503,068</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502,581</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1,148,927</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1,147,564</w:t>
            </w:r>
          </w:p>
        </w:tc>
      </w:tr>
    </w:tbl>
    <w:p>
      <w:pPr>
        <w:pStyle w:val="TextBody"/>
        <w:bidi w:val="0"/>
        <w:spacing w:before="0" w:after="240"/>
        <w:ind w:left="0" w:right="0" w:hanging="0"/>
        <w:jc w:val="both"/>
        <w:rPr/>
      </w:pPr>
      <w:r>
        <w:rPr/>
        <w:t>​</w:t>
      </w:r>
    </w:p>
    <w:tbl>
      <w:tblPr>
        <w:tblW w:w="6908" w:type="dxa"/>
        <w:jc w:val="left"/>
        <w:tblInd w:w="0" w:type="dxa"/>
        <w:tblLayout w:type="fixed"/>
        <w:tblCellMar>
          <w:top w:w="0" w:type="dxa"/>
          <w:left w:w="0" w:type="dxa"/>
          <w:bottom w:w="0" w:type="dxa"/>
          <w:right w:w="0" w:type="dxa"/>
        </w:tblCellMar>
      </w:tblPr>
      <w:tblGrid>
        <w:gridCol w:w="2146"/>
        <w:gridCol w:w="346"/>
        <w:gridCol w:w="211"/>
        <w:gridCol w:w="781"/>
        <w:gridCol w:w="346"/>
        <w:gridCol w:w="211"/>
        <w:gridCol w:w="421"/>
        <w:gridCol w:w="346"/>
        <w:gridCol w:w="211"/>
        <w:gridCol w:w="436"/>
        <w:gridCol w:w="346"/>
        <w:gridCol w:w="211"/>
        <w:gridCol w:w="89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62710" cy="175260"/>
                      <wp:effectExtent l="0" t="0" r="0" b="0"/>
                      <wp:wrapNone/>
                      <wp:docPr id="250" name="Frame250"/>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95935" cy="175260"/>
                      <wp:effectExtent l="0" t="0" r="0" b="0"/>
                      <wp:wrapNone/>
                      <wp:docPr id="253" name="Frame2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7335" cy="175260"/>
                      <wp:effectExtent l="0" t="0" r="0" b="0"/>
                      <wp:wrapNone/>
                      <wp:docPr id="256" name="Frame25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76860" cy="175260"/>
                      <wp:effectExtent l="0" t="0" r="0" b="0"/>
                      <wp:wrapNone/>
                      <wp:docPr id="259" name="Frame25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68960" cy="175260"/>
                      <wp:effectExtent l="0" t="0" r="0" b="0"/>
                      <wp:wrapNone/>
                      <wp:docPr id="262" name="Frame26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1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left"/>
              <w:rPr/>
            </w:pPr>
            <w:r>
              <w:rPr/>
              <w:t> </w:t>
            </w:r>
          </w:p>
        </w:tc>
        <w:tc>
          <w:tcPr>
            <w:tcW w:w="16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93,112</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279,262</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556,753</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928,340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929,127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and six months ended June 30, 2026 and 2025,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05" w:name="Tc_0LX_AaOy3EKpUvvNggQ4yw_7_6"/>
      <w:bookmarkStart w:id="1406" w:name="Tc_vbZPjc9BkU-Nu8rFfPtJ6g_7_5"/>
      <w:bookmarkStart w:id="1407" w:name="Tc_ygGyf4aRPUuSbDamswo5fA_7_2"/>
      <w:bookmarkStart w:id="1408" w:name="Tc_twk-XMKh-k2jq_skUoiQEw_7_0"/>
      <w:bookmarkStart w:id="1409" w:name="Tc_fUSeAGkCYkWZ8Rfav4PDFQ_6_6"/>
      <w:bookmarkStart w:id="1410" w:name="Tc_TOoJAsSY-0WWMV6Eu9aiIQ_6_0"/>
      <w:bookmarkStart w:id="1411" w:name="Tc_uU_FSSEMOkySAQX31cgYvw_5_6"/>
      <w:bookmarkStart w:id="1412" w:name="Tc_RrQ3ANppyUifG-R0xyMi2g_5_0"/>
      <w:bookmarkStart w:id="1413" w:name="Tc_elISSrXer0e7eBLW4WdzjA_4_6"/>
      <w:bookmarkStart w:id="1414" w:name="Tc_MuYIk2Uajkm_dr_Gx6cNzw_4_5"/>
      <w:bookmarkStart w:id="1415" w:name="Tc_R5WEYmdnak6NSsbpTMHTNA_4_2"/>
      <w:bookmarkStart w:id="1416" w:name="Tc_TElSZs7l40CFvo2JP-xtoQ_4_0"/>
      <w:bookmarkStart w:id="1417" w:name="Tc_O43_h1zt4kaEHOBvMgBNAw_3_5"/>
      <w:bookmarkStart w:id="1418" w:name="Tc_oPELfcdAFU2oaNJJqcQHvQ_3_2"/>
      <w:bookmarkStart w:id="1419" w:name="Tc_7ccFcEgZ1kyQPG1DUZ2_MQ_2_5"/>
      <w:bookmarkStart w:id="1420" w:name="Tc_DPjY7-g88EiSBMDjDUlYYQ_2_2"/>
      <w:bookmarkStart w:id="1421" w:name="Tc_DpZxDFKxbEeSoOGtsY-g6Q_1_2"/>
      <w:bookmarkStart w:id="1422" w:name="_8f689856_678d_437f_ac7e_704cb37b55a6"/>
      <w:bookmarkStart w:id="1423" w:name="Tc_HAi1e0tI-UGfqt8GAI4a8Q_7_5"/>
      <w:bookmarkStart w:id="1424" w:name="Tc_lYD6yPwuI0qkKWrA3qz8qg_7_2"/>
      <w:bookmarkStart w:id="1425" w:name="Tc_lPauWHLzC0-sFMJ8HR2e5Q_7_0"/>
      <w:bookmarkStart w:id="1426" w:name="Tc_PcEIIHq8hE-VsoJpO-Xelw_6_6"/>
      <w:bookmarkStart w:id="1427" w:name="Tc_ukd2jK1wUkunfEZkFl3nRw_6_0"/>
      <w:bookmarkStart w:id="1428" w:name="Tc_CrWRiC0P3kitHZeFfDqXnA_5_0"/>
      <w:bookmarkStart w:id="1429" w:name="Tc_7cqODihgW0ipu7wE9aN9-w_4_6"/>
      <w:bookmarkStart w:id="1430" w:name="Tc_hOSQT0f3hUuaJCj58-71qA_4_5"/>
      <w:bookmarkStart w:id="1431" w:name="Tc_MKMdtNpWO0qpltQFimPtQQ_4_2"/>
      <w:bookmarkStart w:id="1432" w:name="Tc_At0gRa3rs0ejIi619FcbyA_4_0"/>
      <w:bookmarkStart w:id="1433" w:name="Tc_rs0bg2zRrkWDiWt3Wv8BrQ_3_5"/>
      <w:bookmarkStart w:id="1434" w:name="Tc_NUUsXtbA5UmVEupbJ4DKTA_3_2"/>
      <w:bookmarkStart w:id="1435" w:name="Tc_pLOPHqbebk6FNJh8n2rCkg_2_5"/>
      <w:bookmarkStart w:id="1436" w:name="Tc_IYNsHkGlDk6eMdnqdw5MWA_2_2"/>
      <w:bookmarkStart w:id="1437" w:name="Tc_qY83bgRavEuZIMa8sOBJYQ_1_2"/>
      <w:bookmarkStart w:id="1438" w:name="_3dd25c0f_9938_4e38_862c_b0b56f15512d"/>
      <w:bookmarkStart w:id="1439" w:name="Tc_7mqm7y4RyESVo6MaiYc_UA_7_17"/>
      <w:bookmarkStart w:id="1440" w:name="Tc_sn67kF7I6ESlghsdedYcJQ_7_14"/>
      <w:bookmarkStart w:id="1441" w:name="Tc_Lhss_tFQU0aTTQW5gYWTPA_7_12"/>
      <w:bookmarkStart w:id="1442" w:name="Tc_IoijwhbYVEW16_-q5cWxqw_7_11"/>
      <w:bookmarkStart w:id="1443" w:name="Tc_EjXp2BaFr0i-Fvuq1yPKCw_7_9"/>
      <w:bookmarkStart w:id="1444" w:name="Tc_QXzCQ8n-PEK6UO47yOT36w_7_8"/>
      <w:bookmarkStart w:id="1445" w:name="Tc_tP_-ed56bkebz1X8wJmeew_7_5"/>
      <w:bookmarkStart w:id="1446" w:name="Tc_NVpvZhYyCUuNbDhmUGxq_A_7_2"/>
      <w:bookmarkStart w:id="1447" w:name="Tc_fjvG1mvoiUif4hDODxDCGw_7_0"/>
      <w:bookmarkStart w:id="1448" w:name="Tc_ItATa8DQV0mXfCBNhwSVhA_6_17"/>
      <w:bookmarkStart w:id="1449" w:name="Tc_LRL4mochzkun0JU8Rr-L1g_6_12"/>
      <w:bookmarkStart w:id="1450" w:name="Tc_epYs80feFUOuV7Ik4kcxhw_6_9"/>
      <w:bookmarkStart w:id="1451" w:name="Tc_HGDnwjNBtkOjYsa51m_d5g_6_2"/>
      <w:bookmarkStart w:id="1452" w:name="Tc_aTnxw595uU-KjJWX3ShpPA_6_0"/>
      <w:bookmarkStart w:id="1453" w:name="Tc_f0t5_HZO3ESP6X67RdL31w_5_17"/>
      <w:bookmarkStart w:id="1454" w:name="Tc_DUUMnCOf5UCpqjluRlHXbQ_5_12"/>
      <w:bookmarkStart w:id="1455" w:name="Tc_N03M4conjUCLLzxG3BS1-g_5_9"/>
      <w:bookmarkStart w:id="1456" w:name="Tc_5rnrDRzNjEmnNnu54kq1tg_5_2"/>
      <w:bookmarkStart w:id="1457" w:name="Tc_jz-AkP3ZtkeCBA4cYtwHxA_5_0"/>
      <w:bookmarkStart w:id="1458" w:name="Tc_EFGJ3kpiBku10yG-jM_OyQ_4_17"/>
      <w:bookmarkStart w:id="1459" w:name="Tc_dchyhr1ZqEOBxq5nyoREIg_4_14"/>
      <w:bookmarkStart w:id="1460" w:name="Tc_ZhqHm9hxB0OpLVxw6U0_sg_4_11"/>
      <w:bookmarkStart w:id="1461" w:name="Tc_k6VXN-8Wu0ey7UohRkvkFQ_4_8"/>
      <w:bookmarkStart w:id="1462" w:name="Tc_mfohJtEQ6UOV7f0f2gyr_A_4_5"/>
      <w:bookmarkStart w:id="1463" w:name="Tc_IiB4a0k8_EK3us9xBybMxw_4_2"/>
      <w:bookmarkStart w:id="1464" w:name="Tc_V9_gvr-_REScJR9yyfDTcw_3_14"/>
      <w:bookmarkStart w:id="1465" w:name="Tc_JoVBjXcscUiGtg7tdjGqOQ_3_8"/>
      <w:bookmarkStart w:id="1466" w:name="Tc_hNPNXMQBjkaDG1LggIc8Gg_3_2"/>
      <w:bookmarkStart w:id="1467" w:name="Tc_z-gSP-U9t0S_WpLbIcVDEA_2_8"/>
      <w:bookmarkStart w:id="1468" w:name="Tc_vgGdWSMYG0GP9KEpx0aToQ_2_2"/>
      <w:bookmarkStart w:id="1469" w:name="Tc_9pXuB4RrAEWtbSYP1YV6YQ_1_2"/>
      <w:bookmarkStart w:id="1470" w:name="Tc_-DJx6tGvQU-G7NgzwwFXxw_8_17"/>
      <w:bookmarkStart w:id="1471" w:name="Tc_dPFS6YehrEmntNNoUv_J9g_8_14"/>
      <w:bookmarkStart w:id="1472" w:name="Tc_EPZOdMapqUaqdh8ATebsxg_8_12"/>
      <w:bookmarkStart w:id="1473" w:name="Tc_4eRTNu_arU2DkUDNYXFU-A_8_11"/>
      <w:bookmarkStart w:id="1474" w:name="Tc_1iOsOwlLUUaILuYjrPhUvg_8_9"/>
      <w:bookmarkStart w:id="1475" w:name="Tc_qFPeCRJT3ECBtrQHCD2c4g_8_8"/>
      <w:bookmarkStart w:id="1476" w:name="Tc_kmTY0UI9I0GRMHVpQBwSBA_8_5"/>
      <w:bookmarkStart w:id="1477" w:name="Tc_5qcDxWAnkUqIBYx9xmahJA_8_2"/>
      <w:bookmarkStart w:id="1478" w:name="Tc_A7OaqP8rRE6zavf0mOff2g_8_0"/>
      <w:bookmarkStart w:id="1479" w:name="Tc_P_YnRfvd1kqT2qxAIxTqlA_7_17"/>
      <w:bookmarkStart w:id="1480" w:name="Tc_7HfdGHYLVUWpX1W0XF-k5w_7_12"/>
      <w:bookmarkStart w:id="1481" w:name="Tc_alU3zx0Az0SvrjEZoDjYlw_7_9"/>
      <w:bookmarkStart w:id="1482" w:name="Tc_jRf3RtiuA02ORNilnepc2Q_7_2"/>
      <w:bookmarkStart w:id="1483" w:name="Tc_gKNIBGH37UWS1b4TGpwCFA_7_0"/>
      <w:bookmarkStart w:id="1484" w:name="Tc_snvpMnCVpEav0AuB9L4VgA_6_17"/>
      <w:bookmarkStart w:id="1485" w:name="Tc_l0dDLGLqtkKWLHQ5z7X0Tg_6_12"/>
      <w:bookmarkStart w:id="1486" w:name="Tc_NzyD7Xpb8kuSl3hqtUBbPw_6_9"/>
      <w:bookmarkStart w:id="1487" w:name="Tc_-554XDiea0CAe2Svwk1Kiw_6_2"/>
      <w:bookmarkStart w:id="1488" w:name="Tc_51D_678FJUigxnZKkTq6Bg_6_0"/>
      <w:bookmarkStart w:id="1489" w:name="Tc_nX6lTVgUD0Wa6uUVev3RaQ_5_17"/>
      <w:bookmarkStart w:id="1490" w:name="Tc_8GHRu_IMKUuD9LqceJDnRw_5_12"/>
      <w:bookmarkStart w:id="1491" w:name="Tc_WMtj_WcNmkyOzjDSiA44dA_5_9"/>
      <w:bookmarkStart w:id="1492" w:name="Tc_6klqAEHFZ0Cs7TzdUBKv9w_5_2"/>
      <w:bookmarkStart w:id="1493" w:name="Tc_NwdFodoJS0GsXp6BTNe1Zg_5_0"/>
      <w:bookmarkStart w:id="1494" w:name="Tc_Byk6aDHoKkCnCaWecOWG4A_4_17"/>
      <w:bookmarkStart w:id="1495" w:name="Tc_BZeX3abBb0ioVVPhty3m0w_4_14"/>
      <w:bookmarkStart w:id="1496" w:name="Tc_62QSEZc2DEW7dc8B0hjoMg_4_11"/>
      <w:bookmarkStart w:id="1497" w:name="Tc_uzemC-u3nkym9uI3n5oOqA_4_8"/>
      <w:bookmarkStart w:id="1498" w:name="Tc_o3qexWWVjUygFuQYimT-aw_4_5"/>
      <w:bookmarkStart w:id="1499" w:name="Tc__jzbUiLf0U-4p66b2dUr5w_4_2"/>
      <w:bookmarkStart w:id="1500" w:name="Tc_LKLhL79nLk-Kv4H8W1rkNQ_3_14"/>
      <w:bookmarkStart w:id="1501" w:name="Tc_n-741qMggkSzjsWmvBfsSg_3_8"/>
      <w:bookmarkStart w:id="1502" w:name="Tc_JQwTEdVp1kKdyzzwMzX7Ig_3_2"/>
      <w:bookmarkStart w:id="1503" w:name="Tc_j-DePlr46EWzTxpVc7thuw_2_8"/>
      <w:bookmarkStart w:id="1504" w:name="Tc__9fpTLVd8km3Vu9T6PD0jw_2_2"/>
      <w:bookmarkStart w:id="1505" w:name="Tc_DgmqfUbYSkiQ4Dgpdcpqgw_1_2"/>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r>
        <w:rPr>
          <w:rFonts w:ascii="Times New Roman;Times;serif" w:hAnsi="Times New Roman;Times;serif"/>
          <w:sz w:val="20"/>
        </w:rPr>
        <w:t xml:space="preserve">or other factors. This review is subjective, as it requires management to evaluate whether an event or change in circumstances has occurred in that period that may be related to credit issues. For the three and six months ended June 30, 2026 and 2025, no allowance was recorded for credit losses. Unrealized gains and losses are reported as a component of accumulated other comprehensive income (loss) in stockholders’ deficit.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and 2025, realized gains from the sale of available for sale debt securities were immaterial. Realized gains and losses are reported as a component of interest expense, net in the consolidated statement of operations. Reclassified amounts from other comprehensive items were determined using the actual realized gains and losses from the sales of marketable securities.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June 30, 2026 are as follows:</w:t>
      </w:r>
    </w:p>
    <w:p>
      <w:pPr>
        <w:pStyle w:val="TextBody"/>
        <w:bidi w:val="0"/>
        <w:spacing w:before="0" w:after="0"/>
        <w:ind w:left="0" w:right="0" w:hanging="0"/>
        <w:jc w:val="left"/>
        <w:rPr/>
      </w:pPr>
      <w:r>
        <w:rPr/>
        <w:t>​</w:t>
      </w:r>
    </w:p>
    <w:tbl>
      <w:tblPr>
        <w:tblW w:w="10301" w:type="dxa"/>
        <w:jc w:val="left"/>
        <w:tblInd w:w="0" w:type="dxa"/>
        <w:tblLayout w:type="fixed"/>
        <w:tblCellMar>
          <w:top w:w="0" w:type="dxa"/>
          <w:left w:w="0" w:type="dxa"/>
          <w:bottom w:w="0" w:type="dxa"/>
          <w:right w:w="0" w:type="dxa"/>
        </w:tblCellMar>
      </w:tblPr>
      <w:tblGrid>
        <w:gridCol w:w="1126"/>
        <w:gridCol w:w="286"/>
        <w:gridCol w:w="321"/>
        <w:gridCol w:w="1000"/>
        <w:gridCol w:w="286"/>
        <w:gridCol w:w="211"/>
        <w:gridCol w:w="931"/>
        <w:gridCol w:w="286"/>
        <w:gridCol w:w="500"/>
        <w:gridCol w:w="821"/>
        <w:gridCol w:w="469"/>
        <w:gridCol w:w="346"/>
        <w:gridCol w:w="568"/>
        <w:gridCol w:w="286"/>
        <w:gridCol w:w="331"/>
        <w:gridCol w:w="990"/>
        <w:gridCol w:w="286"/>
        <w:gridCol w:w="211"/>
        <w:gridCol w:w="104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15010" cy="175260"/>
                      <wp:effectExtent l="0" t="0" r="0" b="0"/>
                      <wp:wrapNone/>
                      <wp:docPr id="263" name="Frame26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81610" cy="175260"/>
                      <wp:effectExtent l="0" t="0" r="0" b="0"/>
                      <wp:wrapNone/>
                      <wp:docPr id="264" name="Frame2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3835" cy="175260"/>
                      <wp:effectExtent l="0" t="0" r="0" b="0"/>
                      <wp:wrapNone/>
                      <wp:docPr id="265" name="Frame26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35000" cy="175260"/>
                      <wp:effectExtent l="0" t="0" r="0" b="0"/>
                      <wp:wrapNone/>
                      <wp:docPr id="266" name="Frame26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81610" cy="175260"/>
                      <wp:effectExtent l="0" t="0" r="0" b="0"/>
                      <wp:wrapNone/>
                      <wp:docPr id="267" name="Frame2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9" name="Frame2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81610" cy="175260"/>
                      <wp:effectExtent l="0" t="0" r="0" b="0"/>
                      <wp:wrapNone/>
                      <wp:docPr id="270" name="Frame2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17500" cy="175260"/>
                      <wp:effectExtent l="0" t="0" r="0" b="0"/>
                      <wp:wrapNone/>
                      <wp:docPr id="271" name="Frame271"/>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21335" cy="175260"/>
                      <wp:effectExtent l="0" t="0" r="0" b="0"/>
                      <wp:wrapNone/>
                      <wp:docPr id="272" name="Frame27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97815" cy="175260"/>
                      <wp:effectExtent l="0" t="0" r="0" b="0"/>
                      <wp:wrapNone/>
                      <wp:docPr id="273" name="Frame27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0680" cy="175260"/>
                      <wp:effectExtent l="0" t="0" r="0" b="0"/>
                      <wp:wrapNone/>
                      <wp:docPr id="275" name="Frame275"/>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1610" cy="175260"/>
                      <wp:effectExtent l="0" t="0" r="0" b="0"/>
                      <wp:wrapNone/>
                      <wp:docPr id="276" name="Frame2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0185" cy="175260"/>
                      <wp:effectExtent l="0" t="0" r="0" b="0"/>
                      <wp:wrapNone/>
                      <wp:docPr id="277" name="Frame27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28650" cy="175260"/>
                      <wp:effectExtent l="0" t="0" r="0" b="0"/>
                      <wp:wrapNone/>
                      <wp:docPr id="278" name="Frame278"/>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1610" cy="175260"/>
                      <wp:effectExtent l="0" t="0" r="0" b="0"/>
                      <wp:wrapNone/>
                      <wp:docPr id="279" name="Frame27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64210" cy="175260"/>
                      <wp:effectExtent l="0" t="0" r="0" b="0"/>
                      <wp:wrapNone/>
                      <wp:docPr id="281" name="Frame281"/>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88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1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27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86" w:type="dxa"/>
            <w:tcBorders/>
            <w:vAlign w:val="center"/>
          </w:tcPr>
          <w:p>
            <w:pPr>
              <w:pStyle w:val="TableContents"/>
              <w:bidi w:val="0"/>
              <w:spacing w:before="0" w:after="0"/>
              <w:ind w:left="0" w:right="0" w:hanging="0"/>
              <w:jc w:val="left"/>
              <w:rPr/>
            </w:pPr>
            <w:r>
              <w:rPr/>
              <w:t> </w:t>
            </w:r>
          </w:p>
        </w:tc>
        <w:tc>
          <w:tcPr>
            <w:tcW w:w="27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8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27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86" w:type="dxa"/>
            <w:tcBorders/>
            <w:vAlign w:val="center"/>
          </w:tcPr>
          <w:p>
            <w:pPr>
              <w:pStyle w:val="TableContents"/>
              <w:bidi w:val="0"/>
              <w:spacing w:before="0" w:after="0"/>
              <w:ind w:left="0" w:right="0" w:hanging="0"/>
              <w:jc w:val="left"/>
              <w:rPr/>
            </w:pPr>
            <w:r>
              <w:rPr/>
              <w:t> </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86" w:type="dxa"/>
            <w:tcBorders/>
            <w:vAlign w:val="center"/>
          </w:tcPr>
          <w:p>
            <w:pPr>
              <w:pStyle w:val="TableContents"/>
              <w:bidi w:val="0"/>
              <w:spacing w:before="0" w:after="0"/>
              <w:ind w:left="0" w:right="0" w:hanging="0"/>
              <w:jc w:val="left"/>
              <w:rPr/>
            </w:pPr>
            <w:r>
              <w:rPr/>
              <w:t>​</w:t>
            </w:r>
          </w:p>
        </w:tc>
        <w:tc>
          <w:tcPr>
            <w:tcW w:w="28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86" w:type="dxa"/>
            <w:tcBorders/>
            <w:vAlign w:val="center"/>
          </w:tcPr>
          <w:p>
            <w:pPr>
              <w:pStyle w:val="TableContents"/>
              <w:bidi w:val="0"/>
              <w:spacing w:before="0" w:after="0"/>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69" w:type="dxa"/>
            <w:tcBorders/>
            <w:vAlign w:val="center"/>
          </w:tcPr>
          <w:p>
            <w:pPr>
              <w:pStyle w:val="TableContents"/>
              <w:bidi w:val="0"/>
              <w:spacing w:before="0" w:after="0"/>
              <w:ind w:left="0" w:right="0" w:hanging="0"/>
              <w:jc w:val="left"/>
              <w:rPr/>
            </w:pPr>
            <w:r>
              <w:rPr/>
              <w:t>  ​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86" w:type="dxa"/>
            <w:tcBorders/>
            <w:vAlign w:val="center"/>
          </w:tcPr>
          <w:p>
            <w:pPr>
              <w:pStyle w:val="TableContents"/>
              <w:bidi w:val="0"/>
              <w:spacing w:before="0" w:after="0"/>
              <w:ind w:left="0" w:right="0" w:hanging="0"/>
              <w:jc w:val="left"/>
              <w:rPr/>
            </w:pPr>
            <w:r>
              <w:rPr/>
              <w:t>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8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120,039</w:t>
            </w:r>
          </w:p>
        </w:tc>
        <w:tc>
          <w:tcPr>
            <w:tcW w:w="286"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center"/>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center"/>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120,039</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8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493,847</w:t>
            </w:r>
          </w:p>
        </w:tc>
        <w:tc>
          <w:tcPr>
            <w:tcW w:w="286"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center"/>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493,847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28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454,099</w:t>
            </w:r>
          </w:p>
        </w:tc>
        <w:tc>
          <w:tcPr>
            <w:tcW w:w="286" w:type="dxa"/>
            <w:tcBorders/>
            <w:shd w:fill="CCEEFF" w:val="cle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454,099</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1,067,985</w:t>
            </w:r>
          </w:p>
        </w:tc>
        <w:tc>
          <w:tcPr>
            <w:tcW w:w="286" w:type="dxa"/>
            <w:tcBorders/>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1,067,985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December 31,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6"/>
        <w:gridCol w:w="286"/>
        <w:gridCol w:w="474"/>
        <w:gridCol w:w="847"/>
        <w:gridCol w:w="373"/>
        <w:gridCol w:w="275"/>
        <w:gridCol w:w="883"/>
        <w:gridCol w:w="286"/>
        <w:gridCol w:w="500"/>
        <w:gridCol w:w="821"/>
        <w:gridCol w:w="477"/>
        <w:gridCol w:w="352"/>
        <w:gridCol w:w="578"/>
        <w:gridCol w:w="286"/>
        <w:gridCol w:w="474"/>
        <w:gridCol w:w="847"/>
        <w:gridCol w:w="286"/>
        <w:gridCol w:w="211"/>
        <w:gridCol w:w="793"/>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34060" cy="175260"/>
                      <wp:effectExtent l="0" t="0" r="0" b="0"/>
                      <wp:wrapNone/>
                      <wp:docPr id="282" name="Frame28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1610" cy="175260"/>
                      <wp:effectExtent l="0" t="0" r="0" b="0"/>
                      <wp:wrapNone/>
                      <wp:docPr id="283" name="Frame28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00990" cy="175260"/>
                      <wp:effectExtent l="0" t="0" r="0" b="0"/>
                      <wp:wrapNone/>
                      <wp:docPr id="284" name="Frame28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37845" cy="175260"/>
                      <wp:effectExtent l="0" t="0" r="0" b="0"/>
                      <wp:wrapNone/>
                      <wp:docPr id="285" name="Frame285"/>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36855" cy="175260"/>
                      <wp:effectExtent l="0" t="0" r="0" b="0"/>
                      <wp:wrapNone/>
                      <wp:docPr id="286" name="Frame28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4625" cy="175260"/>
                      <wp:effectExtent l="0" t="0" r="0" b="0"/>
                      <wp:wrapNone/>
                      <wp:docPr id="287" name="Frame28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60705" cy="175260"/>
                      <wp:effectExtent l="0" t="0" r="0" b="0"/>
                      <wp:wrapNone/>
                      <wp:docPr id="288" name="Frame288"/>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81610" cy="175260"/>
                      <wp:effectExtent l="0" t="0" r="0" b="0"/>
                      <wp:wrapNone/>
                      <wp:docPr id="289" name="Frame28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17500" cy="175260"/>
                      <wp:effectExtent l="0" t="0" r="0" b="0"/>
                      <wp:wrapNone/>
                      <wp:docPr id="290" name="Frame290"/>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21335" cy="175260"/>
                      <wp:effectExtent l="0" t="0" r="0" b="0"/>
                      <wp:wrapNone/>
                      <wp:docPr id="291" name="Frame29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02895" cy="175260"/>
                      <wp:effectExtent l="0" t="0" r="0" b="0"/>
                      <wp:wrapNone/>
                      <wp:docPr id="292" name="Frame292"/>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23520" cy="175260"/>
                      <wp:effectExtent l="0" t="0" r="0" b="0"/>
                      <wp:wrapNone/>
                      <wp:docPr id="293" name="Frame29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7030" cy="175260"/>
                      <wp:effectExtent l="0" t="0" r="0" b="0"/>
                      <wp:wrapNone/>
                      <wp:docPr id="294" name="Frame294"/>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1610" cy="175260"/>
                      <wp:effectExtent l="0" t="0" r="0" b="0"/>
                      <wp:wrapNone/>
                      <wp:docPr id="295" name="Frame29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00990" cy="175260"/>
                      <wp:effectExtent l="0" t="0" r="0" b="0"/>
                      <wp:wrapNone/>
                      <wp:docPr id="296" name="Frame29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37845" cy="175260"/>
                      <wp:effectExtent l="0" t="0" r="0" b="0"/>
                      <wp:wrapNone/>
                      <wp:docPr id="297" name="Frame297"/>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81610" cy="175260"/>
                      <wp:effectExtent l="0" t="0" r="0" b="0"/>
                      <wp:wrapNone/>
                      <wp:docPr id="298" name="Frame29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3555" cy="175260"/>
                      <wp:effectExtent l="0" t="0" r="0" b="0"/>
                      <wp:wrapNone/>
                      <wp:docPr id="300" name="Frame30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76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1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28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86" w:type="dxa"/>
            <w:tcBorders/>
            <w:vAlign w:val="center"/>
          </w:tcPr>
          <w:p>
            <w:pPr>
              <w:pStyle w:val="TableContents"/>
              <w:bidi w:val="0"/>
              <w:spacing w:before="0" w:after="0"/>
              <w:ind w:left="0" w:right="0" w:hanging="0"/>
              <w:jc w:val="left"/>
              <w:rPr/>
            </w:pPr>
            <w:r>
              <w:rPr/>
              <w:t> </w:t>
            </w:r>
          </w:p>
        </w:tc>
        <w:tc>
          <w:tcPr>
            <w:tcW w:w="27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8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28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86" w:type="dxa"/>
            <w:tcBorders/>
            <w:vAlign w:val="center"/>
          </w:tcPr>
          <w:p>
            <w:pPr>
              <w:pStyle w:val="TableContents"/>
              <w:bidi w:val="0"/>
              <w:spacing w:before="0" w:after="0"/>
              <w:ind w:left="0" w:right="0" w:hanging="0"/>
              <w:jc w:val="left"/>
              <w:rPr/>
            </w:pPr>
            <w:r>
              <w:rPr/>
              <w:t> </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86" w:type="dxa"/>
            <w:tcBorders/>
            <w:vAlign w:val="center"/>
          </w:tcPr>
          <w:p>
            <w:pPr>
              <w:pStyle w:val="TableContents"/>
              <w:bidi w:val="0"/>
              <w:spacing w:before="0" w:after="0"/>
              <w:ind w:left="0" w:right="0" w:hanging="0"/>
              <w:jc w:val="left"/>
              <w:rPr/>
            </w:pPr>
            <w:r>
              <w:rPr/>
              <w:t>​</w:t>
            </w:r>
          </w:p>
        </w:tc>
        <w:tc>
          <w:tcPr>
            <w:tcW w:w="26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73" w:type="dxa"/>
            <w:tcBorders/>
            <w:vAlign w:val="center"/>
          </w:tcPr>
          <w:p>
            <w:pPr>
              <w:pStyle w:val="TableContents"/>
              <w:bidi w:val="0"/>
              <w:spacing w:before="0" w:after="0"/>
              <w:ind w:left="0" w:right="0" w:hanging="0"/>
              <w:jc w:val="left"/>
              <w:rPr/>
            </w:pPr>
            <w:r>
              <w:rPr/>
              <w:t>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77" w:type="dxa"/>
            <w:tcBorders/>
            <w:vAlign w:val="center"/>
          </w:tcPr>
          <w:p>
            <w:pPr>
              <w:pStyle w:val="TableContents"/>
              <w:bidi w:val="0"/>
              <w:spacing w:before="0" w:after="0"/>
              <w:ind w:left="0" w:right="0" w:hanging="0"/>
              <w:jc w:val="left"/>
              <w:rPr/>
            </w:pPr>
            <w:r>
              <w:rPr/>
              <w:t>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86" w:type="dxa"/>
            <w:tcBorders/>
            <w:vAlign w:val="center"/>
          </w:tcPr>
          <w:p>
            <w:pPr>
              <w:pStyle w:val="TableContents"/>
              <w:bidi w:val="0"/>
              <w:spacing w:before="0" w:after="0"/>
              <w:ind w:left="0" w:right="0" w:hanging="0"/>
              <w:jc w:val="left"/>
              <w:rPr/>
            </w:pPr>
            <w:r>
              <w:rPr/>
              <w:t>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86" w:type="dxa"/>
            <w:tcBorders/>
            <w:vAlign w:val="center"/>
          </w:tcPr>
          <w:p>
            <w:pPr>
              <w:pStyle w:val="TableContents"/>
              <w:bidi w:val="0"/>
              <w:spacing w:before="0" w:after="0"/>
              <w:ind w:left="0" w:right="0" w:hanging="0"/>
              <w:jc w:val="left"/>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8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73"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50,306</w:t>
            </w:r>
          </w:p>
        </w:tc>
        <w:tc>
          <w:tcPr>
            <w:tcW w:w="286"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center"/>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578"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center"/>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50,306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86"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73"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45,068</w:t>
            </w:r>
          </w:p>
        </w:tc>
        <w:tc>
          <w:tcPr>
            <w:tcW w:w="286" w:type="dxa"/>
            <w:tcBorders/>
            <w:vAlign w:val="center"/>
          </w:tcPr>
          <w:p>
            <w:pPr>
              <w:pStyle w:val="TableContents"/>
              <w:bidi w:val="0"/>
              <w:spacing w:before="0" w:after="0"/>
              <w:ind w:left="0" w:right="0" w:hanging="0"/>
              <w:jc w:val="left"/>
              <w:rPr/>
            </w:pPr>
            <w:r>
              <w:rPr/>
              <w:t>​</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45,068</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73"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95,374</w:t>
            </w:r>
          </w:p>
        </w:tc>
        <w:tc>
          <w:tcPr>
            <w:tcW w:w="286" w:type="dxa"/>
            <w:tcBorders/>
            <w:shd w:fill="CCEEFF" w:val="clear"/>
            <w:vAlign w:val="center"/>
          </w:tcPr>
          <w:p>
            <w:pPr>
              <w:pStyle w:val="TableContents"/>
              <w:bidi w:val="0"/>
              <w:spacing w:before="0" w:after="0"/>
              <w:ind w:left="0" w:right="0" w:hanging="0"/>
              <w:jc w:val="left"/>
              <w:rPr/>
            </w:pPr>
            <w:r>
              <w:rPr/>
              <w:t>​</w:t>
            </w:r>
          </w:p>
        </w:tc>
        <w:tc>
          <w:tcPr>
            <w:tcW w:w="5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95,374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Available for sale debt securities at June 30, 2026 and December 31, 2025 mature as follows:</w:t>
      </w:r>
    </w:p>
    <w:p>
      <w:pPr>
        <w:pStyle w:val="TextBody"/>
        <w:bidi w:val="0"/>
        <w:spacing w:before="0" w:after="240"/>
        <w:ind w:left="0" w:right="0" w:hanging="0"/>
        <w:jc w:val="both"/>
        <w:rPr/>
      </w:pPr>
      <w:r>
        <w:rPr/>
        <w:t>​</w:t>
      </w:r>
    </w:p>
    <w:tbl>
      <w:tblPr>
        <w:tblW w:w="4982" w:type="dxa"/>
        <w:jc w:val="left"/>
        <w:tblInd w:w="0" w:type="dxa"/>
        <w:tblLayout w:type="fixed"/>
        <w:tblCellMar>
          <w:top w:w="0" w:type="dxa"/>
          <w:left w:w="0" w:type="dxa"/>
          <w:bottom w:w="0" w:type="dxa"/>
          <w:right w:w="0" w:type="dxa"/>
        </w:tblCellMar>
      </w:tblPr>
      <w:tblGrid>
        <w:gridCol w:w="2146"/>
        <w:gridCol w:w="346"/>
        <w:gridCol w:w="211"/>
        <w:gridCol w:w="931"/>
        <w:gridCol w:w="346"/>
        <w:gridCol w:w="211"/>
        <w:gridCol w:w="7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62710" cy="175260"/>
                      <wp:effectExtent l="0" t="0" r="0" b="0"/>
                      <wp:wrapNone/>
                      <wp:docPr id="301" name="Frame30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91185" cy="175260"/>
                      <wp:effectExtent l="0" t="0" r="0" b="0"/>
                      <wp:wrapNone/>
                      <wp:docPr id="304" name="Frame3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2285" cy="175260"/>
                      <wp:effectExtent l="0" t="0" r="0" b="0"/>
                      <wp:wrapNone/>
                      <wp:docPr id="307" name="Frame30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1"/>
              <w:ind w:left="0" w:right="0" w:hanging="0"/>
              <w:jc w:val="left"/>
              <w:rPr/>
            </w:pPr>
            <w:r>
              <w:rPr/>
              <w:t> </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498,443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11,632</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1,135,932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11,632</w:t>
            </w:r>
          </w:p>
        </w:tc>
      </w:tr>
    </w:tbl>
    <w:p>
      <w:pPr>
        <w:pStyle w:val="TextBody"/>
        <w:bidi w:val="0"/>
        <w:spacing w:before="0" w:after="240"/>
        <w:ind w:left="0" w:right="0" w:hanging="0"/>
        <w:jc w:val="both"/>
        <w:rPr/>
      </w:pPr>
      <w:r>
        <w:rPr/>
        <w:t>​</w:t>
      </w:r>
    </w:p>
    <w:tbl>
      <w:tblPr>
        <w:tblW w:w="4791" w:type="dxa"/>
        <w:jc w:val="left"/>
        <w:tblInd w:w="0" w:type="dxa"/>
        <w:tblLayout w:type="fixed"/>
        <w:tblCellMar>
          <w:top w:w="0" w:type="dxa"/>
          <w:left w:w="0" w:type="dxa"/>
          <w:bottom w:w="0" w:type="dxa"/>
          <w:right w:w="0" w:type="dxa"/>
        </w:tblCellMar>
      </w:tblPr>
      <w:tblGrid>
        <w:gridCol w:w="2146"/>
        <w:gridCol w:w="346"/>
        <w:gridCol w:w="211"/>
        <w:gridCol w:w="781"/>
        <w:gridCol w:w="346"/>
        <w:gridCol w:w="301"/>
        <w:gridCol w:w="66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62710" cy="175260"/>
                      <wp:effectExtent l="0" t="0" r="0" b="0"/>
                      <wp:wrapNone/>
                      <wp:docPr id="308" name="Frame30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5935" cy="175260"/>
                      <wp:effectExtent l="0" t="0" r="0" b="0"/>
                      <wp:wrapNone/>
                      <wp:docPr id="311" name="Frame3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91135" cy="175260"/>
                      <wp:effectExtent l="0" t="0" r="0" b="0"/>
                      <wp:wrapNone/>
                      <wp:docPr id="313" name="Frame31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19100" cy="175260"/>
                      <wp:effectExtent l="0" t="0" r="0" b="0"/>
                      <wp:wrapNone/>
                      <wp:docPr id="314" name="Frame314"/>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93,112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279,262</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556,753</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929,127</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classifies all of its marketable securities as current as they are all either available for sale debt securities or equity investments and are available for current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senior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2026, the Company issued, at par value, $550.0 million aggregate principal amount of 0% convertible senior notes due 2031 (the “2031 Convertible Notes”), which included an option to purchase up to an additional $50.0 million in aggregate principal amount of the 2031 Convertible Notes, which was exercised in full by the initial purchasers. The Company accounted for the 2031 Convertible Notes as a single liability measured at amortized cost, as further discussed in Note 9. The fair value of the 2031 Convertible Notes, which differs from their carrying values, is influenced by interest rates, the Company’s stock price and stock price volatility and is determined by prices for the 2031 Convertible Notes observed in market trading which are Level 2 inputs. The estimated fair value of the 2031 Convertible Notes at June 30, 2026 was $579.2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the Company issued $287.5 million aggregate principal amount of 1.50% convertible senior notes due September 15, 2026 (the “2026 Convertible Notes”). In June 2026, the Company used a portion of the proceeds of the 2031 Convertible Notes to repurchase $222.0 million aggregate principal amount of its 2026 Convertible Notes for approximately $328.8 million, inclusive of accrued interest, as further discussed in Note 9. Additionally, during the three months ended June 30, 2026, a holder converted $10.0 million principal amount of the 2026 Convertible Notes in exchange for $12.9 million in cash and 3,506 shares of the Company’s common stock. Refer to Note 9 for further information. As of June 30, 2026, the remaining aggregate principal of the 2026 Convertible Notes is $55.5 million. The fair value of the 2026 Convertible Notes, which differs from their carrying values, is influenced by interest rates, the Company’s stock price and stock price volatility and is determined by prices for the 2026 Convertible Notes observed in market trading which are Level 2 inputs. The estimated fair value of the 2026 Convertible Notes at June 30, 2026 and December 31, 2025 was $85.5 million and $424.5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Level 3 valuation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contingent consideration payable is fair valued each reporting period with the change in fair value recorded as a gain or loss within the change in the fair value of contingent consideration on the consolidated statements of operations. In 2025, the probability of triggering the remaining contingent consideration was determined to be remote, and therefore the balance was written down to zero. Refer to Note 10 for additional details.</w:t>
      </w:r>
    </w:p>
    <w:p>
      <w:pPr>
        <w:pStyle w:val="TextBody"/>
        <w:bidi w:val="0"/>
        <w:spacing w:before="0" w:after="240"/>
        <w:ind w:left="0" w:right="0" w:hanging="0"/>
        <w:jc w:val="left"/>
        <w:rPr>
          <w:rFonts w:ascii="Times New Roman;Times;serif" w:hAnsi="Times New Roman;Times;serif"/>
          <w:b/>
          <w:sz w:val="20"/>
        </w:rPr>
      </w:pPr>
      <w:bookmarkStart w:id="1506" w:name="Tc_Bz3puGdYaEyHdSGaAxxwUA_12_5"/>
      <w:bookmarkStart w:id="1507" w:name="Tc_dGNKZwq_R0mnofK_A7NW8A_12_2"/>
      <w:bookmarkStart w:id="1508" w:name="Tc_e0Uy3puG1EmA-3KzVqDVAA_12_0"/>
      <w:bookmarkStart w:id="1509" w:name="Tc_z61KMQlD5EeGlx-l_f9ffg_11_0"/>
      <w:bookmarkStart w:id="1510" w:name="Tc_Ur2qV55TVk-Fceb38AsgZw_10_0"/>
      <w:bookmarkStart w:id="1511" w:name="Tc_OgjH0RykJ0i249wI6byEPg_9_0"/>
      <w:bookmarkStart w:id="1512" w:name="Tc_Ir6poux7_0eIkb3m9255Ew_8_0"/>
      <w:bookmarkStart w:id="1513" w:name="Tc_Va8gthU_oUSw-Wg3LOpVPg_7_0"/>
      <w:bookmarkStart w:id="1514" w:name="Tc_ktUQYMY07kW6N8RlIizhZQ_6_0"/>
      <w:bookmarkStart w:id="1515" w:name="Tc_g-5pFD_Z_EKJUX7mZBTGqA_5_0"/>
      <w:bookmarkStart w:id="1516" w:name="Tc_Nv0DZN3Jm0Cxu0r504kxvw_4_3"/>
      <w:bookmarkStart w:id="1517" w:name="Tc_xK2U3fRGqkSb-OXitMxOQw_4_0"/>
      <w:bookmarkStart w:id="1518" w:name="Tc_4YitQBXnaEmHKGj0FRsybA_3_5"/>
      <w:bookmarkStart w:id="1519" w:name="Tc_-9s9pe8-mEWPAcxkCb03-Q_3_2"/>
      <w:bookmarkStart w:id="1520" w:name="Tc_C1D79bv3vEebk7B2k2sX4g_3_0"/>
      <w:bookmarkStart w:id="1521" w:name="Tc_k470J-cPVEukKBr6fa0U_A_2_5"/>
      <w:bookmarkStart w:id="1522" w:name="Tc_YaZINHos7066frimk6NcQA_2_2"/>
      <w:bookmarkStart w:id="1523" w:name="Tc_giz7LNGr-E2TaDjjSk_1CQ_1_5"/>
      <w:bookmarkStart w:id="1524" w:name="Tc_UdTLvZntikKpK68BgADSfw_1_2"/>
      <w:bookmarkStart w:id="1525" w:name="_5186c04e_4048_4a39_b5c4_c3cfe5d70a1c"/>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Pr>
          <w:rFonts w:ascii="Times New Roman;Times;serif" w:hAnsi="Times New Roman;Times;serif"/>
          <w:b/>
          <w:sz w:val="20"/>
        </w:rPr>
        <w:t>5.        Accounts payable and accrued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expenses at June 30, 2026 and December 31, 2025 consist of the following:</w:t>
      </w:r>
    </w:p>
    <w:p>
      <w:pPr>
        <w:pStyle w:val="TextBody"/>
        <w:bidi w:val="0"/>
        <w:spacing w:before="0" w:after="240"/>
        <w:ind w:left="0" w:right="0" w:hanging="0"/>
        <w:jc w:val="both"/>
        <w:rPr/>
      </w:pPr>
      <w:r>
        <w:rPr/>
        <w:t>​</w:t>
      </w:r>
    </w:p>
    <w:tbl>
      <w:tblPr>
        <w:tblW w:w="7539" w:type="dxa"/>
        <w:jc w:val="left"/>
        <w:tblInd w:w="0" w:type="dxa"/>
        <w:tblLayout w:type="fixed"/>
        <w:tblCellMar>
          <w:top w:w="0" w:type="dxa"/>
          <w:left w:w="0" w:type="dxa"/>
          <w:bottom w:w="0" w:type="dxa"/>
          <w:right w:w="0" w:type="dxa"/>
        </w:tblCellMar>
      </w:tblPr>
      <w:tblGrid>
        <w:gridCol w:w="4561"/>
        <w:gridCol w:w="346"/>
        <w:gridCol w:w="211"/>
        <w:gridCol w:w="781"/>
        <w:gridCol w:w="346"/>
        <w:gridCol w:w="242"/>
        <w:gridCol w:w="898"/>
        <w:gridCol w:w="154"/>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896235" cy="175260"/>
                      <wp:effectExtent l="0" t="0" r="0" b="0"/>
                      <wp:wrapNone/>
                      <wp:docPr id="315" name="Frame315"/>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95935" cy="175260"/>
                      <wp:effectExtent l="0" t="0" r="0" b="0"/>
                      <wp:wrapNone/>
                      <wp:docPr id="318" name="Frame3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53670" cy="175260"/>
                      <wp:effectExtent l="0" t="0" r="0" b="0"/>
                      <wp:wrapNone/>
                      <wp:docPr id="320" name="Frame32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70230" cy="175260"/>
                      <wp:effectExtent l="0" t="0" r="0" b="0"/>
                      <wp:wrapNone/>
                      <wp:docPr id="321" name="Frame32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97790" cy="175260"/>
                      <wp:effectExtent l="0" t="0" r="0" b="0"/>
                      <wp:wrapNone/>
                      <wp:docPr id="322" name="Frame3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benefits, and related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and contracted research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allowance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119,562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129,197</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rebates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109,741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13,580</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9,574</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Milestone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382,245</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381,272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Capitalization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Rule 415(a)(4) promulgated under the Securities Act of 1933, as amended. No shares were sold during the three and six months ended June 30, 2026 and 2025. The remaining shares of the Company’s common stock available to be issued and sold, under the At the Market Offering, have an aggregate offering price of up to $93.0 million as of June 30, 2026.</w:t>
      </w:r>
    </w:p>
    <w:p>
      <w:pPr>
        <w:pStyle w:val="TextBody"/>
        <w:bidi w:val="0"/>
        <w:spacing w:before="0" w:after="240"/>
        <w:ind w:left="0" w:right="0" w:hanging="0"/>
        <w:jc w:val="left"/>
        <w:rPr>
          <w:rFonts w:ascii="Times New Roman;Times;serif" w:hAnsi="Times New Roman;Times;serif"/>
          <w:b/>
          <w:sz w:val="20"/>
        </w:rPr>
      </w:pPr>
      <w:bookmarkStart w:id="1526" w:name="Tc_Pt6UoliHv0ypUDisrY73gg_6_0"/>
      <w:bookmarkStart w:id="1527" w:name="Tc_gcaeLS6VG0OhOslIy4CJQw_5_4"/>
      <w:bookmarkStart w:id="1528" w:name="Tc_94GpFZbOoUGBABH_jXqqIg_5_0"/>
      <w:bookmarkStart w:id="1529" w:name="Tc_QSvNk5xQfkaerBCACgnlXA_4_0"/>
      <w:bookmarkStart w:id="1530" w:name="Tc_M_e2zHXgKU62YUc-dGiXCQ_3_0"/>
      <w:bookmarkStart w:id="1531" w:name="Tc_oyP8Fy8EyEuNsLtKDa0wGw_2_4"/>
      <w:bookmarkStart w:id="1532" w:name="Tc_1ZbdBWEmFkWZwcIjHb1ieQ_2_2"/>
      <w:bookmarkStart w:id="1533" w:name="Tc_wTEtjm_9qkK2OhHiOvPSwg_1_2"/>
      <w:bookmarkStart w:id="1534" w:name="Tc_Wlb4YcE0ik2j2Sky2AjRQg_14_13"/>
      <w:bookmarkStart w:id="1535" w:name="Tc_8YiMk6kFoUGW-sYbOQ0Wcw_14_10"/>
      <w:bookmarkStart w:id="1536" w:name="Tc_-A2FKhWTyEqzZ8mov9WqgQ_14_7"/>
      <w:bookmarkStart w:id="1537" w:name="Tc_rZcS0GnToE2VfvpuK5tafQ_14_5"/>
      <w:bookmarkStart w:id="1538" w:name="Tc_wVI8ag7nIE6KuNxZXENeKQ_14_2"/>
      <w:bookmarkStart w:id="1539" w:name="Tc_4A6oWgrKcEGVnQ25IKM8ug_14_0"/>
      <w:bookmarkStart w:id="1540" w:name="Tc_1O7izdTgq0-Y4Bhh9_SS7w_13_13"/>
      <w:bookmarkStart w:id="1541" w:name="Tc_qIcqD0jisE6SznydHY1Ygw_13_10"/>
      <w:bookmarkStart w:id="1542" w:name="Tc_zLZel9c6s0-FjjBaIBVexg_13_7"/>
      <w:bookmarkStart w:id="1543" w:name="Tc_w0Otp6N31UK2-pmLQUIIWw_13_5"/>
      <w:bookmarkStart w:id="1544" w:name="Tc__TdxN9PJBEKUHOEIKB9NIg_13_2"/>
      <w:bookmarkStart w:id="1545" w:name="Tc_u2WcZ_RhpkqPfRtlKdiXsQ_13_0"/>
      <w:bookmarkStart w:id="1546" w:name="Tc_HpgMhC2pIk-FKB18csK-gw_12_0"/>
      <w:bookmarkStart w:id="1547" w:name="Tc_LG-OFQfiwEqBAZJEP8aaiA_11_6"/>
      <w:bookmarkStart w:id="1548" w:name="Tc_aYs_JEn4EkaMRMWnGk8dbA_11_0"/>
      <w:bookmarkStart w:id="1549" w:name="Tc_IEvXsVidIECGSLnJkz6PgQ_10_6"/>
      <w:bookmarkStart w:id="1550" w:name="Tc_thf_SoUCwkKN1Uu4jcN1Hg_10_0"/>
      <w:bookmarkStart w:id="1551" w:name="Tc_U_eflmxMTki-ToA8VTjmGQ_9_0"/>
      <w:bookmarkStart w:id="1552" w:name="Tc_OjoMrFoe40C8xFSrM1_J9w_8_0"/>
      <w:bookmarkStart w:id="1553" w:name="Tc_2jaaGFMKekOU2qjduE0fSA_7_0"/>
      <w:bookmarkStart w:id="1554" w:name="Tc_OjLbKYGEtkesrQ5ZVo2L-w_6_13"/>
      <w:bookmarkStart w:id="1555" w:name="Tc__xnSQw3QuUqAdF05AIyJSw_6_10"/>
      <w:bookmarkStart w:id="1556" w:name="Tc_DIH5keZLFEeBuF4v3UJnoQ_6_5"/>
      <w:bookmarkStart w:id="1557" w:name="Tc_F0IxLddwlkOVbWLL_bzF5w_6_2"/>
      <w:bookmarkStart w:id="1558" w:name="Tc_yb3JeA6BC0KYuwAlEVp3nA_6_0"/>
      <w:bookmarkStart w:id="1559" w:name="Tc_8Ifu61GL9kWObHlh5pzecw_5_6"/>
      <w:bookmarkStart w:id="1560" w:name="Tc_c2EpSmJE3ESYfyNorAMnZw_5_0"/>
      <w:bookmarkStart w:id="1561" w:name="Tc_quHuxAVbgEeuSHSnVy4Gjg_4_13"/>
      <w:bookmarkStart w:id="1562" w:name="Tc_DWT7l-Gin0anzWOHRlKevQ_4_10"/>
      <w:bookmarkStart w:id="1563" w:name="Tc_bEui010Kgk2ax6ac4xKWMg_4_5"/>
      <w:bookmarkStart w:id="1564" w:name="Tc_fukXXdygO0CLlFptdG4csA_4_2"/>
      <w:bookmarkStart w:id="1565" w:name="Tc_8LTSMq8EhE-JJlC_UA-26A_4_0"/>
      <w:bookmarkStart w:id="1566" w:name="Tc_Mx2C_wDXd0a40AcIW7L-xg_3_0"/>
      <w:bookmarkStart w:id="1567" w:name="Tc_zI5TSjnGi0imK8gxdpOsJA_2_13"/>
      <w:bookmarkStart w:id="1568" w:name="Tc__CJicVV7rEyuD9TgOAZ3ww_2_10"/>
      <w:bookmarkStart w:id="1569" w:name="Tc_y8tk_FJAtk24qcF1UMzLZg_2_5"/>
      <w:bookmarkStart w:id="1570" w:name="Tc_8KAUuxaPL0-oIjLB4-TeFA_2_2"/>
      <w:bookmarkStart w:id="1571" w:name="Tc_txPtagjsokS862e3mKBUsg_1_10"/>
      <w:bookmarkStart w:id="1572" w:name="Tc_csJQ8QP5kk-llZn2dzI3Ng_1_2"/>
      <w:bookmarkStart w:id="1573" w:name="_626e83b8_0faf_4a8e_baa0_c573491f2cf7"/>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Pr>
          <w:rFonts w:ascii="Times New Roman;Times;serif" w:hAnsi="Times New Roman;Times;serif"/>
          <w:b/>
          <w:sz w:val="20"/>
        </w:rPr>
        <w:t>7.        Net income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Basic and diluted net income (loss) per share is computed by dividing net income (loss) by the weighted-average number of common shares outstanding.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 forth the computation of basic and diluted net income (loss) per share:</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13"/>
        <w:gridCol w:w="346"/>
        <w:gridCol w:w="211"/>
        <w:gridCol w:w="1036"/>
        <w:gridCol w:w="346"/>
        <w:gridCol w:w="211"/>
        <w:gridCol w:w="1036"/>
        <w:gridCol w:w="211"/>
        <w:gridCol w:w="346"/>
        <w:gridCol w:w="109"/>
        <w:gridCol w:w="211"/>
        <w:gridCol w:w="1036"/>
        <w:gridCol w:w="346"/>
        <w:gridCol w:w="211"/>
        <w:gridCol w:w="1036"/>
        <w:gridCol w:w="346"/>
        <w:gridCol w:w="154"/>
      </w:tblGrid>
      <w:tr>
        <w:trPr/>
        <w:tc>
          <w:tcPr>
            <w:tcW w:w="3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913255" cy="175260"/>
                      <wp:effectExtent l="0" t="0" r="0" b="0"/>
                      <wp:wrapNone/>
                      <wp:docPr id="323" name="Frame323"/>
                      <a:graphic xmlns:a="http://schemas.openxmlformats.org/drawingml/2006/main">
                        <a:graphicData uri="http://schemas.microsoft.com/office/word/2010/wordprocessingShape">
                          <wps:wsp>
                            <wps:cNvSpPr txBox="1"/>
                            <wps:spPr>
                              <a:xfrm>
                                <a:off x="0" y="0"/>
                                <a:ext cx="191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57860" cy="175260"/>
                      <wp:effectExtent l="0" t="0" r="0" b="0"/>
                      <wp:wrapNone/>
                      <wp:docPr id="326" name="Frame3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57860" cy="175260"/>
                      <wp:effectExtent l="0" t="0" r="0" b="0"/>
                      <wp:wrapNone/>
                      <wp:docPr id="329" name="Frame3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57860" cy="175260"/>
                      <wp:effectExtent l="0" t="0" r="0" b="0"/>
                      <wp:wrapNone/>
                      <wp:docPr id="334" name="Frame3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57860" cy="175260"/>
                      <wp:effectExtent l="0" t="0" r="0" b="0"/>
                      <wp:wrapNone/>
                      <wp:docPr id="337" name="Frame3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97790" cy="175260"/>
                      <wp:effectExtent l="0" t="0" r="0" b="0"/>
                      <wp:wrapNone/>
                      <wp:docPr id="339" name="Frame3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51"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4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(64,849)</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80,687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801,713</w:t>
            </w:r>
          </w:p>
        </w:tc>
        <w:tc>
          <w:tcPr>
            <w:tcW w:w="34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Interest expense, net of tax, on the Company's 2026 and 2031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diluted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(64,849)</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803,874</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shares outstanding, 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83,006,808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78,151,240</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82,765,248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78,438,830</w:t>
            </w:r>
          </w:p>
        </w:tc>
        <w:tc>
          <w:tcPr>
            <w:tcW w:w="34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issuable under the Company's equity incentive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3,591,103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2,589,633</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issuable under the Company's 2026 and 2031 Convertible Notes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5,461,797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5,467,922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5,474,115</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92,020,009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78,151,240</w:t>
            </w:r>
          </w:p>
        </w:tc>
        <w:tc>
          <w:tcPr>
            <w:tcW w:w="2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91,824,273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86,502,578</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common share,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per common share, diluted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In the three months ended June 30, 2025, the Company experienced a net loss and therefore did not report any dilutive share impact.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historical common share equivalents outstanding, which are not included in the above calculation, as the effect of their inclusion is anti-dilutive during each period. The anti-dilutive shares are calculated as the unweighted outstanding shares as of the reporting period end date that are antidilutive on a year to date basis using the treasury stock method.</w:t>
      </w:r>
    </w:p>
    <w:p>
      <w:pPr>
        <w:pStyle w:val="TextBody"/>
        <w:bidi w:val="0"/>
        <w:spacing w:before="0" w:after="240"/>
        <w:ind w:left="0" w:right="0" w:hanging="0"/>
        <w:jc w:val="both"/>
        <w:rPr/>
      </w:pPr>
      <w:r>
        <w:rPr/>
        <w:t>​</w:t>
      </w:r>
    </w:p>
    <w:tbl>
      <w:tblPr>
        <w:tblW w:w="7161" w:type="dxa"/>
        <w:jc w:val="left"/>
        <w:tblInd w:w="0" w:type="dxa"/>
        <w:tblLayout w:type="fixed"/>
        <w:tblCellMar>
          <w:top w:w="0" w:type="dxa"/>
          <w:left w:w="0" w:type="dxa"/>
          <w:bottom w:w="0" w:type="dxa"/>
          <w:right w:w="0" w:type="dxa"/>
        </w:tblCellMar>
      </w:tblPr>
      <w:tblGrid>
        <w:gridCol w:w="4216"/>
        <w:gridCol w:w="346"/>
        <w:gridCol w:w="931"/>
        <w:gridCol w:w="346"/>
        <w:gridCol w:w="931"/>
        <w:gridCol w:w="39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677160" cy="175260"/>
                      <wp:effectExtent l="0" t="0" r="0" b="0"/>
                      <wp:wrapNone/>
                      <wp:docPr id="340" name="Frame34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91185" cy="175260"/>
                      <wp:effectExtent l="0" t="0" r="0" b="0"/>
                      <wp:wrapNone/>
                      <wp:docPr id="342" name="Frame3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91185" cy="175260"/>
                      <wp:effectExtent l="0" t="0" r="0" b="0"/>
                      <wp:wrapNone/>
                      <wp:docPr id="344" name="Frame3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48285" cy="175260"/>
                      <wp:effectExtent l="0" t="0" r="0" b="0"/>
                      <wp:wrapNone/>
                      <wp:docPr id="345" name="Frame34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91"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807,769</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3,494,565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1,206,529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83,657</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Unvested performance based restricted stock units </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93,478</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2,107,776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3,578,222</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8.        Stock award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2013 LTIP is the sum of (A) the number of shares of the Company’s common stock (up to 16,724,212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74" w:name="Tc_EU8hVtRgz0K5N_wJe2HAoA_5_2"/>
      <w:bookmarkStart w:id="1575" w:name="Tc_W8YftGEUCUKaCH8Zo5da2A_5_0"/>
      <w:bookmarkStart w:id="1576" w:name="Tc_1W-C5qwQNkKmJvp4Bl7hXQ_4_0"/>
      <w:bookmarkStart w:id="1577" w:name="Tc_6YpipGyVgkyvvTsfUI3pyA_3_2"/>
      <w:bookmarkStart w:id="1578" w:name="Tc_-tRG8HYqMk6bfFsVWlIBGw_3_0"/>
      <w:bookmarkStart w:id="1579" w:name="Tc_nPKZFlt_hE2tDWhRDERWPA_2_2"/>
      <w:bookmarkStart w:id="1580" w:name="Tc_5m30pb3TYUW0PC4x50l9NQ_1_2"/>
      <w:bookmarkStart w:id="1581" w:name="_769f1b00_c0bd_48be_a5a5_006bee43dc02"/>
      <w:bookmarkStart w:id="1582" w:name="Tc_R4VI9DyRn0uAORSSays-Ow_13_10"/>
      <w:bookmarkStart w:id="1583" w:name="Tc_THJumWeBA02tzEzlqqHuPg_13_8"/>
      <w:bookmarkStart w:id="1584" w:name="Tc_1lbVVt0d40mXEJFthEaq6A_13_4"/>
      <w:bookmarkStart w:id="1585" w:name="Tc_piuJL_brfk2zvfkmo1i2Mw_13_0"/>
      <w:bookmarkStart w:id="1586" w:name="Tc_deMC2eKpmU2oJ2GlfkfRDQ_12_10"/>
      <w:bookmarkStart w:id="1587" w:name="Tc_ULJGtc11LUy_dU6zXPq-iQ_12_8"/>
      <w:bookmarkStart w:id="1588" w:name="Tc_4nTMv_GH_kyS1TuEirgkhw_12_4"/>
      <w:bookmarkStart w:id="1589" w:name="Tc_pME9hO-Gek6jKW8FLCCn4w_12_0"/>
      <w:bookmarkStart w:id="1590" w:name="Tc_cBzrZHQwLEeHM4Zkrs8oxQ_11_10"/>
      <w:bookmarkStart w:id="1591" w:name="Tc_qxpSFJOfGE-ixobDlywqkw_11_8"/>
      <w:bookmarkStart w:id="1592" w:name="Tc_H0wTfb0JT021JzXNOWGP9g_11_4"/>
      <w:bookmarkStart w:id="1593" w:name="Tc_PZ8OVoq5TESsr_cTv1hCdQ_11_0"/>
      <w:bookmarkStart w:id="1594" w:name="Tc_Tbtjkh93GUOTUYhIaLozGA_10_4"/>
      <w:bookmarkStart w:id="1595" w:name="Tc_d-7nmWUZD0y_XWqUcTV4ug_10_0"/>
      <w:bookmarkStart w:id="1596" w:name="Tc_5PaWINxdgE2OnBVBlyPRhA_9_4"/>
      <w:bookmarkStart w:id="1597" w:name="Tc_MdjsYTkk70uRSYFYEXM-aw_9_0"/>
      <w:bookmarkStart w:id="1598" w:name="Tc_HHpDn1J2b0GhE3mzzwITzQ_8_4"/>
      <w:bookmarkStart w:id="1599" w:name="Tc_NIfCu7dgQECVx5sKquCNmQ_8_0"/>
      <w:bookmarkStart w:id="1600" w:name="Tc_sOfPy-qPJEyBJDgujG0d7w_7_4"/>
      <w:bookmarkStart w:id="1601" w:name="Tc_yz8CdtWPPk6UTkCEQkz-6A_7_0"/>
      <w:bookmarkStart w:id="1602" w:name="Tc_BGjorAHuQkiXVeqUb6mSFQ_5_10"/>
      <w:bookmarkStart w:id="1603" w:name="Tc_kGKbEgW9UEaPJhA6Fi-oMw_5_7"/>
      <w:bookmarkStart w:id="1604" w:name="Tc_AydqNhgc7k6Y5--ct0d4cw_5_4"/>
      <w:bookmarkStart w:id="1605" w:name="Tc_FPuQL4y6O0K-9hFvdQKZwQ_5_2"/>
      <w:bookmarkStart w:id="1606" w:name="Tc_DNEaYLmHQUWlgi_8WPQApw_4_10"/>
      <w:bookmarkStart w:id="1607" w:name="Tc_bLPK6bolm0Kyk6YU_kpChg_4_7"/>
      <w:bookmarkStart w:id="1608" w:name="Tc_Czv4O4Ve2EWwWBH_p-lESA_4_4"/>
      <w:bookmarkStart w:id="1609" w:name="Tc_5f2d5aq51k2VH6kE3K1x3w_4_2"/>
      <w:bookmarkStart w:id="1610" w:name="Tc_nBx8ZOLmfk6SjR4MASFaCg_3_10"/>
      <w:bookmarkStart w:id="1611" w:name="Tc_GVC8wX5M-0eouqji112SSA_3_7"/>
      <w:bookmarkStart w:id="1612" w:name="Tc_2BjqqqBc20C0oiKOzR8cOQ_3_4"/>
      <w:bookmarkStart w:id="1613" w:name="Tc_a4XKAHs8mE6gqcIeN0jOuA_2_10"/>
      <w:bookmarkStart w:id="1614" w:name="Tc_DFBGfAVfdUCzTUpNCmUDgQ_2_7"/>
      <w:bookmarkStart w:id="1615" w:name="Tc_1yCmSlEz2EGw79LjKYnQYQ_2_4"/>
      <w:bookmarkStart w:id="1616" w:name="Tc_bbrO7nbSqk2RcwNHON3tyg_1_7"/>
      <w:bookmarkStart w:id="1617" w:name="_3da6b62d_c4e2_40a2_814d_5d29f87d4907"/>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r>
        <w:rPr>
          <w:rFonts w:ascii="Times New Roman;Times;serif" w:hAnsi="Times New Roman;Times;serif"/>
          <w:sz w:val="20"/>
        </w:rPr>
        <w:t>that is equal to the sum of (1) the number of shares issued under the 2013 Long-Term Incentive Plan prior to the Restatement Effective Date, (2) the number of shares that remain available for issuance under the 2013 Long-Term Incentive Plan immediately prior to the Restatement Effective Date and (3) the number of shares subject to awards granted under the 2013 Long-Term Incentive Plan prior to the Restatement Effective Date that are outstanding as of the Restatement Effective Date, plus (B) from and after the Restatement Effective Date, an additional 8,475,000 shares of Common Stock. As of June 30, 2026, awards for 3,408,235 shares of common stock are available for issuance under the Amended 2013 LTIP.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2020, the Company’s Board of Directors approved the 2020 Inducement Stock Incentive Plan. The 2020 Inducement Stock Incentive Plan provides for the grant of incentive stock options, nonstatutory stock options, restricted stock awards and other stock-based awards for, initially, up to at the time, an aggregate of 1,000,000 shares of common stock. Any grants made under the 2020 Inducement Stock Incentive Plan must be made pursuant to the Nasdaq Listing Rule 5635(c)(4) inducement grant exception as a material component of the Company’s new hires’ employment compensation. </w:t>
      </w:r>
      <w:r>
        <w:rPr>
          <w:rFonts w:ascii="Times New Roman;Times;serif" w:hAnsi="Times New Roman;Times;serif"/>
          <w:sz w:val="20"/>
          <w:shd w:fill="FFFFFF" w:val="clear"/>
        </w:rPr>
        <w:t>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In December 2022, the Company’s Board of Directors approved an additional 1,700,000 shares of common stock that may be issued under the 2020 Inducement Stock Incentive Plan.  </w:t>
      </w:r>
      <w:r>
        <w:rPr>
          <w:rFonts w:ascii="Times New Roman;Times;serif" w:hAnsi="Times New Roman;Times;serif"/>
          <w:sz w:val="20"/>
        </w:rPr>
        <w:t>As of June 30, 2026, awards for 1,754,494 shares of common stock were available for issuance under the 2020 Inducement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Stock option awards</w:t>
      </w:r>
      <w:r>
        <w:rPr>
          <w:rFonts w:ascii="Times New Roman;Times;serif" w:hAnsi="Times New Roman;Times;serif"/>
          <w:sz w:val="20"/>
        </w:rPr>
        <w:t>—From January 1, 2026 through June 30, 2026, the Company issued a total of 757,556 stock options to various employees. Of those, 25,755 were inducement grants for non-statutory stock options, all of which were made pursuant to the 2020 Inducement Stock Incentive Plan.  A summary of stock option activity is as follows:</w:t>
      </w:r>
    </w:p>
    <w:p>
      <w:pPr>
        <w:pStyle w:val="TextBody"/>
        <w:bidi w:val="0"/>
        <w:spacing w:before="0" w:after="240"/>
        <w:ind w:left="0" w:right="0" w:hanging="0"/>
        <w:jc w:val="both"/>
        <w:rPr/>
      </w:pPr>
      <w:r>
        <w:rPr/>
        <w:t>​</w:t>
      </w:r>
    </w:p>
    <w:tbl>
      <w:tblPr>
        <w:tblW w:w="8570" w:type="dxa"/>
        <w:jc w:val="left"/>
        <w:tblInd w:w="0" w:type="dxa"/>
        <w:tblLayout w:type="fixed"/>
        <w:tblCellMar>
          <w:top w:w="0" w:type="dxa"/>
          <w:left w:w="0" w:type="dxa"/>
          <w:bottom w:w="0" w:type="dxa"/>
          <w:right w:w="0" w:type="dxa"/>
        </w:tblCellMar>
      </w:tblPr>
      <w:tblGrid>
        <w:gridCol w:w="2941"/>
        <w:gridCol w:w="346"/>
        <w:gridCol w:w="931"/>
        <w:gridCol w:w="346"/>
        <w:gridCol w:w="230"/>
        <w:gridCol w:w="625"/>
        <w:gridCol w:w="346"/>
        <w:gridCol w:w="946"/>
        <w:gridCol w:w="526"/>
        <w:gridCol w:w="226"/>
        <w:gridCol w:w="211"/>
        <w:gridCol w:w="89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67535" cy="175260"/>
                      <wp:effectExtent l="0" t="0" r="0" b="0"/>
                      <wp:wrapNone/>
                      <wp:docPr id="346" name="Frame34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91185" cy="175260"/>
                      <wp:effectExtent l="0" t="0" r="0" b="0"/>
                      <wp:wrapNone/>
                      <wp:docPr id="348" name="Frame3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6050" cy="175260"/>
                      <wp:effectExtent l="0" t="0" r="0" b="0"/>
                      <wp:wrapNone/>
                      <wp:docPr id="350" name="Frame35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96875" cy="175260"/>
                      <wp:effectExtent l="0" t="0" r="0" b="0"/>
                      <wp:wrapNone/>
                      <wp:docPr id="351" name="Frame35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00710" cy="175260"/>
                      <wp:effectExtent l="0" t="0" r="0" b="0"/>
                      <wp:wrapNone/>
                      <wp:docPr id="353" name="Frame3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34010" cy="175260"/>
                      <wp:effectExtent l="0" t="0" r="0" b="0"/>
                      <wp:wrapNone/>
                      <wp:docPr id="354" name="Frame35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3510" cy="175260"/>
                      <wp:effectExtent l="0" t="0" r="0" b="0"/>
                      <wp:wrapNone/>
                      <wp:docPr id="355" name="Frame3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68960" cy="175260"/>
                      <wp:effectExtent l="0" t="0" r="0" b="0"/>
                      <wp:wrapNone/>
                      <wp:docPr id="357" name="Frame35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52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value(in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6,396,202</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757,556</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76.44</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(506,463)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(21,132)</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6,626,163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227,986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1,593,265</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4,855,637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180,891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grants made in the six months ended June 30, 2026, was contemporaneously estimated on the date of grant using the following assumptions:</w:t>
      </w:r>
    </w:p>
    <w:p>
      <w:pPr>
        <w:pStyle w:val="TextBody"/>
        <w:bidi w:val="0"/>
        <w:spacing w:before="0" w:after="0"/>
        <w:ind w:left="0" w:right="0" w:hanging="0"/>
        <w:jc w:val="left"/>
        <w:rPr/>
      </w:pPr>
      <w:r>
        <w:rPr/>
        <w:t>​</w:t>
      </w:r>
    </w:p>
    <w:tbl>
      <w:tblPr>
        <w:tblW w:w="3994" w:type="dxa"/>
        <w:jc w:val="left"/>
        <w:tblInd w:w="0" w:type="dxa"/>
        <w:tblLayout w:type="fixed"/>
        <w:tblCellMar>
          <w:top w:w="0" w:type="dxa"/>
          <w:left w:w="0" w:type="dxa"/>
          <w:bottom w:w="0" w:type="dxa"/>
          <w:right w:w="0" w:type="dxa"/>
        </w:tblCellMar>
      </w:tblPr>
      <w:tblGrid>
        <w:gridCol w:w="1846"/>
        <w:gridCol w:w="346"/>
        <w:gridCol w:w="1411"/>
        <w:gridCol w:w="39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172210" cy="175260"/>
                      <wp:effectExtent l="0" t="0" r="0" b="0"/>
                      <wp:wrapNone/>
                      <wp:docPr id="358" name="Frame35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895985" cy="175260"/>
                      <wp:effectExtent l="0" t="0" r="0" b="0"/>
                      <wp:wrapNone/>
                      <wp:docPr id="360" name="Frame360"/>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48285" cy="175260"/>
                      <wp:effectExtent l="0" t="0" r="0" b="0"/>
                      <wp:wrapNone/>
                      <wp:docPr id="361" name="Frame3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  ​ ​ ​</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91" w:type="dxa"/>
            <w:tcBorders/>
            <w:vAlign w:val="center"/>
          </w:tcPr>
          <w:p>
            <w:pPr>
              <w:pStyle w:val="TableContents"/>
              <w:bidi w:val="0"/>
              <w:spacing w:before="0" w:after="0"/>
              <w:ind w:left="0" w:right="0" w:hanging="0"/>
              <w:jc w:val="left"/>
              <w:rPr/>
            </w:pPr>
            <w:r>
              <w:rPr/>
              <w:t>  ​ ​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3.78% - 4.21%</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91"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 years</w:t>
            </w:r>
          </w:p>
        </w:tc>
        <w:tc>
          <w:tcPr>
            <w:tcW w:w="39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618" w:name="Tc_AFzjms4kmEOoB730riEMUQ_1_2"/>
      <w:bookmarkStart w:id="1619" w:name="Tc_Hd8XZB6VYE-1bZqLYsWLrg_12_4"/>
      <w:bookmarkStart w:id="1620" w:name="Tc_9vQp7eDR1k2KO-prLw3K-w_12_0"/>
      <w:bookmarkStart w:id="1621" w:name="Tc_vjFHhhI-80yomw46HY8gvg_11_0"/>
      <w:bookmarkStart w:id="1622" w:name="Tc_EC3hw5fTMkaNHjmvZ118fw_10_0"/>
      <w:bookmarkStart w:id="1623" w:name="Tc_5I-yZIZJo0-437gV-_cYyw_9_0"/>
      <w:bookmarkStart w:id="1624" w:name="Tc_6mwAqzB4_US4TlTGr2gz1w_8_0"/>
      <w:bookmarkStart w:id="1625" w:name="Tc_VFMLniTJdUyM8qW2fX5YcA_7_4"/>
      <w:bookmarkStart w:id="1626" w:name="Tc_LecLD44YXkK9sqX5mshyJQ_7_0"/>
      <w:bookmarkStart w:id="1627" w:name="Tc_oFCZVIxPA0em1-Llu1b37Q_6_4"/>
      <w:bookmarkStart w:id="1628" w:name="Tc_vslOD9-lkkyhjW1hN19CVw_6_2"/>
      <w:bookmarkStart w:id="1629" w:name="Tc_nthLjmXTrkyBynCqS94fXQ_5_4"/>
      <w:bookmarkStart w:id="1630" w:name="Tc_seildeU2ikSQUMxF3muoKA_5_2"/>
      <w:bookmarkStart w:id="1631" w:name="Tc_UOHCzM8xnUGOYUBgDkiExQ_4_4"/>
      <w:bookmarkStart w:id="1632" w:name="Tc_0UbmGjphy0epW5m7c8Cj4w_3_4"/>
      <w:bookmarkStart w:id="1633" w:name="Tc_2Io3Hdg1XE2_HTfz37mO4A_2_4"/>
      <w:bookmarkStart w:id="1634" w:name="Tc__SC2MRsnxUWxifVUlaVinQ_1_2"/>
      <w:bookmarkStart w:id="1635" w:name="_38c07856_2b3d_447e_b23f_a1950139b63b"/>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assumed no expected dividends for all grants. The weighted average grant date fair value of options granted during the six months ended June 30, 2026 was $40.21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Restricted Stock Units</w:t>
      </w:r>
      <w:r>
        <w:rPr>
          <w:rFonts w:ascii="Times New Roman;Times;serif" w:hAnsi="Times New Roman;Times;serif"/>
          <w:sz w:val="20"/>
        </w:rPr>
        <w:t>—Restricted stock units are granted subject to certain restrictions, including in some cases service or time conditions (restricted stock). The grant-date fair value of restricted stock units, which have been determined based upon the market value of the Company’s shares on the grant date, are expensed over the vesting period.  From January 1, 2026, through June 30, 2026, the Company issued a total of 1,293,798 restricted stock units to various employees. Of those, 30,610 were inducement grants for restricted stock units, all of which were made pursuant to the 2020 Inducement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on the Company’s restricted stock units, including performance-based restricted stock units (“PSUs”) for which the performance conditions were satisfied:</w:t>
      </w:r>
    </w:p>
    <w:p>
      <w:pPr>
        <w:pStyle w:val="TextBody"/>
        <w:bidi w:val="0"/>
        <w:spacing w:before="0" w:after="0"/>
        <w:ind w:left="0" w:right="0" w:hanging="0"/>
        <w:jc w:val="left"/>
        <w:rPr/>
      </w:pPr>
      <w:r>
        <w:rPr/>
        <w:t>​</w:t>
      </w:r>
    </w:p>
    <w:tbl>
      <w:tblPr>
        <w:tblW w:w="6815" w:type="dxa"/>
        <w:jc w:val="left"/>
        <w:tblInd w:w="0" w:type="dxa"/>
        <w:tblLayout w:type="fixed"/>
        <w:tblCellMar>
          <w:top w:w="0" w:type="dxa"/>
          <w:left w:w="0" w:type="dxa"/>
          <w:bottom w:w="0" w:type="dxa"/>
          <w:right w:w="0" w:type="dxa"/>
        </w:tblCellMar>
      </w:tblPr>
      <w:tblGrid>
        <w:gridCol w:w="4141"/>
        <w:gridCol w:w="346"/>
        <w:gridCol w:w="1051"/>
        <w:gridCol w:w="346"/>
        <w:gridCol w:w="218"/>
        <w:gridCol w:w="713"/>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629535" cy="175260"/>
                      <wp:effectExtent l="0" t="0" r="0" b="0"/>
                      <wp:wrapNone/>
                      <wp:docPr id="362" name="Frame362"/>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67385" cy="175260"/>
                      <wp:effectExtent l="0" t="0" r="0" b="0"/>
                      <wp:wrapNone/>
                      <wp:docPr id="364" name="Frame36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8430" cy="175260"/>
                      <wp:effectExtent l="0" t="0" r="0" b="0"/>
                      <wp:wrapNone/>
                      <wp:docPr id="366" name="Frame36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52755" cy="175260"/>
                      <wp:effectExtent l="0" t="0" r="0" b="0"/>
                      <wp:wrapNone/>
                      <wp:docPr id="367" name="Frame36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3,667,130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1,293,798</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based PSUs with conditions satisfied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(1,294,464)</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(169,015)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June 30, 2026</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3,522,449</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52.02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Performance-based Restricted Stock Units—</w:t>
      </w:r>
      <w:r>
        <w:rPr>
          <w:rFonts w:ascii="Times New Roman;Times;serif" w:hAnsi="Times New Roman;Times;serif"/>
          <w:sz w:val="20"/>
        </w:rPr>
        <w:t>The Company has granted Chief Executive Officer, Dr. Matthew Klein PSUs which will vest only if challenging performance goals relating to development and regulatory milestones are achieved which are considered “PSUs with performance conditions”. The Company also granted Dr. Klein PSUs, which will vest only if challenging performance goals relating to stock price goals are achieved. In addition, the Company granted PSUs to Dr. Klein for which the number of PSUs that vest shall be determined based upon the Company’s total shareholder return (“TSR”) over the period beginning on November 14, 2025 and ending on December 31, 2028 relative to the TSR of the group of companies in the Nasdaq Biotechnology Index. Together, the PSUs with stock price goals and the PSUs related to the TSR are considered the “PSUs with market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25,000 of the PSUs with performance conditions granted to Dr. Klein in December 2024 were satisfied due to the Company’s achievement of corporate goals and are included in the restricted stock units table above. Also, during the six months ended June 30, 2026, the Company granted Dr. Klein 37,500 PSUs with performance conditions which will only vest if challenging performance goals relating to regulatory milestones are achieved over an approximately three-year performance period. The expenses related to satisfied PSUs were $0.7 million and $1.2 million for the three and six months ended June 30, 2026, respectively. The achievement of the remaining performance goals for the PSUs with performance conditions granted to Dr. Klein has not yet been deemed probable and therefore no expense has been recognized to date. The expenses related to the PSUs with market conditions granted to Dr. Klein were $1.1 million and $2.3 million for the three and six months ended June 30, 2026, respectively, and $0.3 million for each of the three and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regarding the Company’s PSUs granted to Dr. Klein:</w:t>
      </w:r>
    </w:p>
    <w:p>
      <w:pPr>
        <w:pStyle w:val="TextBody"/>
        <w:bidi w:val="0"/>
        <w:spacing w:before="0" w:after="0"/>
        <w:ind w:left="0" w:right="0" w:hanging="0"/>
        <w:jc w:val="left"/>
        <w:rPr/>
      </w:pPr>
      <w:r>
        <w:rPr/>
        <w:t>​</w:t>
      </w:r>
    </w:p>
    <w:tbl>
      <w:tblPr>
        <w:tblW w:w="3068" w:type="dxa"/>
        <w:jc w:val="left"/>
        <w:tblInd w:w="0" w:type="dxa"/>
        <w:tblLayout w:type="fixed"/>
        <w:tblCellMar>
          <w:top w:w="0" w:type="dxa"/>
          <w:left w:w="0" w:type="dxa"/>
          <w:bottom w:w="0" w:type="dxa"/>
          <w:right w:w="0" w:type="dxa"/>
        </w:tblCellMar>
      </w:tblPr>
      <w:tblGrid>
        <w:gridCol w:w="124"/>
        <w:gridCol w:w="109"/>
        <w:gridCol w:w="523"/>
        <w:gridCol w:w="523"/>
        <w:gridCol w:w="523"/>
        <w:gridCol w:w="523"/>
        <w:gridCol w:w="74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8740" cy="175260"/>
                      <wp:effectExtent l="0" t="0" r="0" b="0"/>
                      <wp:wrapNone/>
                      <wp:docPr id="368" name="Frame36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32105" cy="175260"/>
                      <wp:effectExtent l="0" t="0" r="0" b="0"/>
                      <wp:wrapNone/>
                      <wp:docPr id="370" name="Frame37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32105" cy="175260"/>
                      <wp:effectExtent l="0" t="0" r="0" b="0"/>
                      <wp:wrapNone/>
                      <wp:docPr id="371" name="Frame371"/>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32105" cy="175260"/>
                      <wp:effectExtent l="0" t="0" r="0" b="0"/>
                      <wp:wrapNone/>
                      <wp:docPr id="372" name="Frame37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32105" cy="175260"/>
                      <wp:effectExtent l="0" t="0" r="0" b="0"/>
                      <wp:wrapNone/>
                      <wp:docPr id="373" name="Frame37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71805" cy="175260"/>
                      <wp:effectExtent l="0" t="0" r="0" b="0"/>
                      <wp:wrapNone/>
                      <wp:docPr id="374" name="Frame37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Performance-based Restricted Stock Units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36" w:name="Tc_uG2CqZEQQEeycgohYWG6aA_5_11"/>
      <w:bookmarkStart w:id="1637" w:name="Tc_0k5anusxZUWUTfsF2uC-Dg_5_8"/>
      <w:bookmarkStart w:id="1638" w:name="Tc_36ik8PE530GD1sJZtN6vWg_5_5"/>
      <w:bookmarkStart w:id="1639" w:name="Tc_chIfIgU530ODsyuqkNCfXg_5_2"/>
      <w:bookmarkStart w:id="1640" w:name="Tc_s4pGsX7nnEqNpDkru_y4ew_5_0"/>
      <w:bookmarkStart w:id="1641" w:name="Tc_d5RxnsYs4UicSCVDl6YD1Q_4_0"/>
      <w:bookmarkStart w:id="1642" w:name="Tc_MvPnWVgUJk6W9D7abXddjA_3_11"/>
      <w:bookmarkStart w:id="1643" w:name="Tc_zV9O_bbSrE2alfIq6jgZ6A_3_8"/>
      <w:bookmarkStart w:id="1644" w:name="Tc_onyN173yakucaxngdSDn1Q_3_5"/>
      <w:bookmarkStart w:id="1645" w:name="Tc_ZpJBer3AXEiH2b7QGPcAFQ_3_2"/>
      <w:bookmarkStart w:id="1646" w:name="Tc_vhSV2isU2E664P2MvJS8Mw_3_0"/>
      <w:bookmarkStart w:id="1647" w:name="Tc_rbCx8mSMjUC-DPr9dXWmBw_2_11"/>
      <w:bookmarkStart w:id="1648" w:name="Tc_ITQNuDi2xk-HMXfez1Vlgg_2_8"/>
      <w:bookmarkStart w:id="1649" w:name="Tc_J0zqQk8NlkGIziB50mWnCw_2_5"/>
      <w:bookmarkStart w:id="1650" w:name="Tc_QVY4N-yk0UWXoP_obQgc7g_2_2"/>
      <w:bookmarkStart w:id="1651" w:name="Tc_n8t1JMtpikiSdtWiG003SQ_1_8"/>
      <w:bookmarkStart w:id="1652" w:name="Tc_4qdTUGUmk02McniqzYCkAA_1_2"/>
      <w:bookmarkStart w:id="1653" w:name="_99f5533f_91ce_48e6_b0b4_e02744c4c44a"/>
      <w:bookmarkStart w:id="1654" w:name="Tc_a5rqb0gMKEGfGAac4pM-SQ_6_0"/>
      <w:bookmarkStart w:id="1655" w:name="Tc_WA8FTkCklUS-SEAbKNcMnQ_5_4"/>
      <w:bookmarkStart w:id="1656" w:name="Tc_JOmJSMKC3069x9hpASk-SA_5_0"/>
      <w:bookmarkStart w:id="1657" w:name="Tc_pYwDF9QG8USaeyGB1tds6w_4_4"/>
      <w:bookmarkStart w:id="1658" w:name="Tc_CicqukIysU61qwLPszJ1UQ_4_0"/>
      <w:bookmarkStart w:id="1659" w:name="Tc_B3tvdkcRyUmBhajUjGj__A_3_0"/>
      <w:bookmarkStart w:id="1660" w:name="Tc_kHUHUF1PZUqPrqsq0An3HQ_2_6"/>
      <w:bookmarkStart w:id="1661" w:name="Tc_i-Ff8OJfdE-aKzLHAlDm9Q_2_4"/>
      <w:bookmarkStart w:id="1662" w:name="Tc_j9YeZLMAcU-gTvbj0fn2gw_2_2"/>
      <w:bookmarkStart w:id="1663" w:name="Tc_uG2CqZEQQEeycgohYWG6aA_5_11"/>
      <w:bookmarkStart w:id="1664" w:name="Tc_0k5anusxZUWUTfsF2uC-Dg_5_8"/>
      <w:bookmarkStart w:id="1665" w:name="Tc_36ik8PE530GD1sJZtN6vWg_5_5"/>
      <w:bookmarkStart w:id="1666" w:name="Tc_chIfIgU530ODsyuqkNCfXg_5_2"/>
      <w:bookmarkStart w:id="1667" w:name="Tc_s4pGsX7nnEqNpDkru_y4ew_5_0"/>
      <w:bookmarkStart w:id="1668" w:name="Tc_d5RxnsYs4UicSCVDl6YD1Q_4_0"/>
      <w:bookmarkStart w:id="1669" w:name="Tc_MvPnWVgUJk6W9D7abXddjA_3_11"/>
      <w:bookmarkStart w:id="1670" w:name="Tc_zV9O_bbSrE2alfIq6jgZ6A_3_8"/>
      <w:bookmarkStart w:id="1671" w:name="Tc_onyN173yakucaxngdSDn1Q_3_5"/>
      <w:bookmarkStart w:id="1672" w:name="Tc_ZpJBer3AXEiH2b7QGPcAFQ_3_2"/>
      <w:bookmarkStart w:id="1673" w:name="Tc_vhSV2isU2E664P2MvJS8Mw_3_0"/>
      <w:bookmarkStart w:id="1674" w:name="Tc_rbCx8mSMjUC-DPr9dXWmBw_2_11"/>
      <w:bookmarkStart w:id="1675" w:name="Tc_ITQNuDi2xk-HMXfez1Vlgg_2_8"/>
      <w:bookmarkStart w:id="1676" w:name="Tc_J0zqQk8NlkGIziB50mWnCw_2_5"/>
      <w:bookmarkStart w:id="1677" w:name="Tc_QVY4N-yk0UWXoP_obQgc7g_2_2"/>
      <w:bookmarkStart w:id="1678" w:name="Tc_n8t1JMtpikiSdtWiG003SQ_1_8"/>
      <w:bookmarkStart w:id="1679" w:name="Tc_4qdTUGUmk02McniqzYCkAA_1_2"/>
      <w:bookmarkStart w:id="1680" w:name="_99f5533f_91ce_48e6_b0b4_e02744c4c44a"/>
      <w:bookmarkStart w:id="1681" w:name="Tc_a5rqb0gMKEGfGAac4pM-SQ_6_0"/>
      <w:bookmarkStart w:id="1682" w:name="Tc_WA8FTkCklUS-SEAbKNcMnQ_5_4"/>
      <w:bookmarkStart w:id="1683" w:name="Tc_JOmJSMKC3069x9hpASk-SA_5_0"/>
      <w:bookmarkStart w:id="1684" w:name="Tc_pYwDF9QG8USaeyGB1tds6w_4_4"/>
      <w:bookmarkStart w:id="1685" w:name="Tc_CicqukIysU61qwLPszJ1UQ_4_0"/>
      <w:bookmarkStart w:id="1686" w:name="Tc_B3tvdkcRyUmBhajUjGj__A_3_0"/>
      <w:bookmarkStart w:id="1687" w:name="Tc_kHUHUF1PZUqPrqsq0An3HQ_2_6"/>
      <w:bookmarkStart w:id="1688" w:name="Tc_i-Ff8OJfdE-aKzLHAlDm9Q_2_4"/>
      <w:bookmarkStart w:id="1689" w:name="Tc_j9YeZLMAcU-gTvbj0fn2gw_2_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p>
    <w:tbl>
      <w:tblPr>
        <w:tblW w:w="10205" w:type="dxa"/>
        <w:jc w:val="left"/>
        <w:tblInd w:w="0" w:type="dxa"/>
        <w:tblLayout w:type="fixed"/>
        <w:tblCellMar>
          <w:top w:w="0" w:type="dxa"/>
          <w:left w:w="0" w:type="dxa"/>
          <w:bottom w:w="0" w:type="dxa"/>
          <w:right w:w="0" w:type="dxa"/>
        </w:tblCellMar>
      </w:tblPr>
      <w:tblGrid>
        <w:gridCol w:w="5858"/>
        <w:gridCol w:w="346"/>
        <w:gridCol w:w="1583"/>
        <w:gridCol w:w="346"/>
        <w:gridCol w:w="1281"/>
        <w:gridCol w:w="109"/>
        <w:gridCol w:w="682"/>
      </w:tblGrid>
      <w:tr>
        <w:trPr/>
        <w:tc>
          <w:tcPr>
            <w:tcW w:w="58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Performance Conditions</w:t>
            </w:r>
          </w:p>
        </w:tc>
        <w:tc>
          <w:tcPr>
            <w:tcW w:w="346" w:type="dxa"/>
            <w:tcBorders/>
            <w:vAlign w:val="center"/>
          </w:tcPr>
          <w:p>
            <w:pPr>
              <w:pStyle w:val="TableContents"/>
              <w:bidi w:val="0"/>
              <w:spacing w:before="0" w:after="1"/>
              <w:ind w:left="0" w:right="0" w:hanging="0"/>
              <w:jc w:val="left"/>
              <w:rPr/>
            </w:pPr>
            <w:r>
              <w:rPr/>
              <w:t>  ​ ​ ​</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Market Conditions</w:t>
            </w:r>
          </w:p>
        </w:tc>
        <w:tc>
          <w:tcPr>
            <w:tcW w:w="109" w:type="dxa"/>
            <w:tcBorders/>
            <w:vAlign w:val="center"/>
          </w:tcPr>
          <w:p>
            <w:pPr>
              <w:pStyle w:val="TableContents"/>
              <w:bidi w:val="0"/>
              <w:spacing w:before="0" w:after="1"/>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PSUs granted for which the performance or market conditions were not yet satisfied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58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w:t>
            </w:r>
          </w:p>
        </w:tc>
        <w:tc>
          <w:tcPr>
            <w:tcW w:w="346"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115,625</w:t>
            </w:r>
          </w:p>
        </w:tc>
        <w:tc>
          <w:tcPr>
            <w:tcW w:w="109"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140,625</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PSUs with performance or market conditions granted during the period </w:t>
            </w:r>
          </w:p>
        </w:tc>
        <w:tc>
          <w:tcPr>
            <w:tcW w:w="346" w:type="dxa"/>
            <w:tcBorders/>
            <w:vAlign w:val="center"/>
          </w:tcPr>
          <w:p>
            <w:pPr>
              <w:pStyle w:val="TableContents"/>
              <w:bidi w:val="0"/>
              <w:spacing w:before="0" w:after="1"/>
              <w:ind w:left="0" w:right="0" w:hanging="0"/>
              <w:jc w:val="left"/>
              <w:rPr/>
            </w:pPr>
            <w:r>
              <w:rPr/>
              <w:t>​</w:t>
            </w:r>
          </w:p>
        </w:tc>
        <w:tc>
          <w:tcPr>
            <w:tcW w:w="158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37,500</w:t>
            </w:r>
          </w:p>
        </w:tc>
        <w:tc>
          <w:tcPr>
            <w:tcW w:w="346"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37,500</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PSUs with performance or market conditions satisfied during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15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w:t>
            </w:r>
          </w:p>
        </w:tc>
        <w:tc>
          <w:tcPr>
            <w:tcW w:w="346" w:type="dxa"/>
            <w:tcBorders/>
            <w:shd w:fill="CCEEFF" w:val="cle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PSUs granted for which the performance or market conditions were not yet satisfied at June 30, 2026</w:t>
            </w:r>
          </w:p>
        </w:tc>
        <w:tc>
          <w:tcPr>
            <w:tcW w:w="346" w:type="dxa"/>
            <w:tcBorders/>
            <w:vAlign w:val="center"/>
          </w:tcPr>
          <w:p>
            <w:pPr>
              <w:pStyle w:val="TableContents"/>
              <w:bidi w:val="0"/>
              <w:spacing w:before="0" w:after="1"/>
              <w:ind w:left="0" w:right="0" w:hanging="0"/>
              <w:jc w:val="left"/>
              <w:rPr/>
            </w:pPr>
            <w:r>
              <w:rPr/>
              <w:t> </w:t>
            </w:r>
          </w:p>
        </w:tc>
        <w:tc>
          <w:tcPr>
            <w:tcW w:w="15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37,500</w:t>
            </w:r>
          </w:p>
        </w:tc>
        <w:tc>
          <w:tcPr>
            <w:tcW w:w="346" w:type="dxa"/>
            <w:tcBorders/>
            <w:vAlign w:val="center"/>
          </w:tcPr>
          <w:p>
            <w:pPr>
              <w:pStyle w:val="TableContents"/>
              <w:bidi w:val="0"/>
              <w:spacing w:before="0" w:after="1"/>
              <w:ind w:left="0" w:right="0" w:hanging="0"/>
              <w:jc w:val="left"/>
              <w:rPr/>
            </w:pPr>
            <w:r>
              <w:rPr/>
              <w:t>​</w:t>
            </w:r>
          </w:p>
        </w:tc>
        <w:tc>
          <w:tcPr>
            <w:tcW w:w="1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115,625</w:t>
            </w:r>
          </w:p>
        </w:tc>
        <w:tc>
          <w:tcPr>
            <w:tcW w:w="109" w:type="dxa"/>
            <w:tcBorders/>
            <w:vAlign w:val="center"/>
          </w:tcPr>
          <w:p>
            <w:pPr>
              <w:pStyle w:val="TableContents"/>
              <w:bidi w:val="0"/>
              <w:spacing w:before="0" w:after="1"/>
              <w:ind w:left="0" w:right="0" w:hanging="0"/>
              <w:jc w:val="left"/>
              <w:rPr/>
            </w:pPr>
            <w:r>
              <w:rPr/>
              <w:t>​</w:t>
            </w:r>
          </w:p>
        </w:tc>
        <w:tc>
          <w:tcPr>
            <w:tcW w:w="682"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153,125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Employee Stock Purchase Plan</w:t>
      </w:r>
      <w:r>
        <w:rPr>
          <w:rFonts w:ascii="Times New Roman;Times;serif" w:hAnsi="Times New Roman;Times;serif"/>
          <w:sz w:val="20"/>
        </w:rPr>
        <w:t>—In June 2016, the Company established an Employee Stock Purchase Plan (as amended, the “ESPP” or the “Plan”), for certain eligible employees. The Plan is administered by the Company’s Board of Directors or 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and six months ended June 30, 2026, the Company recorded $0.5 million and $1.0 million, respectively, in compensation expense related to the ESPP.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share-based compensation expense in the statement of operations related to incentive stock options, nonstatutory stock options, restricted stock units, performance-based restricted stock units and the ESPP as follows:</w:t>
      </w:r>
    </w:p>
    <w:p>
      <w:pPr>
        <w:pStyle w:val="TextBody"/>
        <w:bidi w:val="0"/>
        <w:spacing w:before="0" w:after="240"/>
        <w:ind w:left="0" w:right="0" w:hanging="0"/>
        <w:jc w:val="both"/>
        <w:rPr/>
      </w:pPr>
      <w:r>
        <w:rPr/>
        <w:t>​</w:t>
      </w:r>
    </w:p>
    <w:tbl>
      <w:tblPr>
        <w:tblW w:w="8231" w:type="dxa"/>
        <w:jc w:val="left"/>
        <w:tblInd w:w="0" w:type="dxa"/>
        <w:tblLayout w:type="fixed"/>
        <w:tblCellMar>
          <w:top w:w="0" w:type="dxa"/>
          <w:left w:w="0" w:type="dxa"/>
          <w:bottom w:w="0" w:type="dxa"/>
          <w:right w:w="0" w:type="dxa"/>
        </w:tblCellMar>
      </w:tblPr>
      <w:tblGrid>
        <w:gridCol w:w="2956"/>
        <w:gridCol w:w="346"/>
        <w:gridCol w:w="230"/>
        <w:gridCol w:w="736"/>
        <w:gridCol w:w="377"/>
        <w:gridCol w:w="230"/>
        <w:gridCol w:w="736"/>
        <w:gridCol w:w="346"/>
        <w:gridCol w:w="211"/>
        <w:gridCol w:w="676"/>
        <w:gridCol w:w="346"/>
        <w:gridCol w:w="211"/>
        <w:gridCol w:w="676"/>
        <w:gridCol w:w="154"/>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877060" cy="175260"/>
                      <wp:effectExtent l="0" t="0" r="0" b="0"/>
                      <wp:wrapNone/>
                      <wp:docPr id="375" name="Frame37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46050" cy="175260"/>
                      <wp:effectExtent l="0" t="0" r="0" b="0"/>
                      <wp:wrapNone/>
                      <wp:docPr id="377" name="Frame37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67360" cy="175260"/>
                      <wp:effectExtent l="0" t="0" r="0" b="0"/>
                      <wp:wrapNone/>
                      <wp:docPr id="378" name="Frame37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9395" cy="175260"/>
                      <wp:effectExtent l="0" t="0" r="0" b="0"/>
                      <wp:wrapNone/>
                      <wp:docPr id="379" name="Frame37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6050" cy="175260"/>
                      <wp:effectExtent l="0" t="0" r="0" b="0"/>
                      <wp:wrapNone/>
                      <wp:docPr id="380" name="Frame38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67360" cy="175260"/>
                      <wp:effectExtent l="0" t="0" r="0" b="0"/>
                      <wp:wrapNone/>
                      <wp:docPr id="381" name="Frame38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29260" cy="175260"/>
                      <wp:effectExtent l="0" t="0" r="0" b="0"/>
                      <wp:wrapNone/>
                      <wp:docPr id="384" name="Frame3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29260" cy="175260"/>
                      <wp:effectExtent l="0" t="0" r="0" b="0"/>
                      <wp:wrapNone/>
                      <wp:docPr id="387" name="Frame3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97790" cy="175260"/>
                      <wp:effectExtent l="0" t="0" r="0" b="0"/>
                      <wp:wrapNone/>
                      <wp:docPr id="388" name="Frame3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10,547</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12,744</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18,910</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23,291</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there was approximately $206.8 million of total unrecognized compensation cost related to unvested share-based compensation arrangements granted under the Company’s equity award plans. This cost is expected to be recognized as share-based compensation expense over the weighted average remaining service period of approximately 2.9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Debt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Liability for sale of future royalties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Company has a royalty purchase agreement, (the “A&amp;R Royalty Purchase Agreement”), with Royalty Pharma. Under the A&amp;R Royalty Purchase Agreement, Royalty Pharma has provided funding to the Company totaling $2.1 billion. In exchange for these fundings, the Company sold Royalty Pharma 100% </w:t>
      </w:r>
      <w:r>
        <w:rPr>
          <w:rFonts w:ascii="Times New Roman;Times;serif" w:hAnsi="Times New Roman;Times;serif"/>
          <w:sz w:val="20"/>
        </w:rPr>
        <w:t>of the Company's rights to receive sales-based royalty payments on worldwide net sales of Roche’s Evrysdi</w:t>
      </w:r>
      <w:r>
        <w:rPr>
          <w:rFonts w:ascii="Times New Roman;Times;serif" w:hAnsi="Times New Roman;Times;serif"/>
          <w:i/>
          <w:sz w:val="20"/>
        </w:rPr>
        <w:t>®</w:t>
      </w:r>
      <w:r>
        <w:rPr>
          <w:rFonts w:ascii="Times New Roman;Times;serif" w:hAnsi="Times New Roman;Times;serif"/>
          <w:sz w:val="20"/>
        </w:rPr>
        <w:t xml:space="preserve"> (risdiplam) product and any other product developed pursuant to the SMA collaboration with the Company, Roche, and the SMA Foundation. Pursuant to A&amp;R Royalty Purchase Agreement, the Company is entitled to three potential additional </w:t>
      </w:r>
      <w:r>
        <w:rPr>
          <w:rFonts w:ascii="Times New Roman;Times;serif" w:hAnsi="Times New Roman;Times;serif"/>
          <w:b w:val="false"/>
          <w:i w:val="false"/>
          <w:caps w:val="false"/>
          <w:smallCaps w:val="false"/>
          <w:sz w:val="20"/>
        </w:rPr>
        <w:t>purchase price</w:t>
      </w:r>
      <w:r>
        <w:rPr>
          <w:rFonts w:ascii="Times New Roman;Times;serif" w:hAnsi="Times New Roman;Times;serif"/>
          <w:sz w:val="20"/>
        </w:rPr>
        <w:t xml:space="preserve"> payments of $20.0 million each </w:t>
      </w:r>
      <w:r>
        <w:rPr>
          <w:rFonts w:ascii="Times New Roman;Times;serif" w:hAnsi="Times New Roman;Times;serif"/>
          <w:b w:val="false"/>
          <w:i w:val="false"/>
          <w:caps w:val="false"/>
          <w:smallCaps w:val="false"/>
          <w:sz w:val="20"/>
        </w:rPr>
        <w:t>conditioned</w:t>
      </w:r>
      <w:r>
        <w:rPr>
          <w:rFonts w:ascii="Times New Roman;Times;serif" w:hAnsi="Times New Roman;Times;serif"/>
          <w:sz w:val="20"/>
        </w:rPr>
        <w:t xml:space="preserve"> upon receipt by Royalty Pharma of more than $347.0 million of Assigned Royalty Payments (as defined in the A&amp;R Royalty Purchase Agreement) in respect of Calendar Year Net Sales (as defined in the A&amp;R Royalty Purchase Agreement) arising in 2027, $363.0 million of Assigned Royalty Payments in respect of Calendar Year Net Sales arising in 2028, and $379.0 million of Assigned Royalty Payments in respect of Calendar Year Net Sales arising in 2029, respectively.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Pursuant to the guidance in ASC 470-10-25-2, the Company determined that these fundings should be classified as debt and are recorded as “liability for sale of future royalties-current” and “liability for sale of future royalties-noncurrent” on the Company’s consolidated balance sheet based on the timing of the expected payments to be made to Royalty Pharma.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690" w:name="Tc_YZXybbQ6CEuXMwcyev8pVg_7_0"/>
      <w:bookmarkStart w:id="1691" w:name="Tc_uzbcxIkZWECUs1cGzUj5VA_6_2"/>
      <w:bookmarkStart w:id="1692" w:name="Tc_R1L8MuJV6EmcyA3EiBxyyQ_6_0"/>
      <w:bookmarkStart w:id="1693" w:name="Tc_DLXM9UyxFE6VHyV7CIbEFQ_5_0"/>
      <w:bookmarkStart w:id="1694" w:name="Tc_eOtLklHqtkyM_4Rbgidd9Q_4_0"/>
      <w:bookmarkStart w:id="1695" w:name="Tc_f7v-UhAxIkeXcDZHE-usfg_3_2"/>
      <w:bookmarkStart w:id="1696" w:name="Tc_fh32ylxZekC8lZVDpf0BiA_3_0"/>
      <w:bookmarkStart w:id="1697" w:name="Tc_4BgNMZG6Jka-UAGKOB15bQ_2_2"/>
      <w:bookmarkStart w:id="1698" w:name="Tc_req5oZBFNEKZZT_2cDhcCQ_2_0"/>
      <w:bookmarkStart w:id="1699" w:name="Tc_d0RP-dYRdkuSiOxUeesyHA_1_2"/>
      <w:bookmarkEnd w:id="1690"/>
      <w:bookmarkEnd w:id="1691"/>
      <w:bookmarkEnd w:id="1692"/>
      <w:bookmarkEnd w:id="1693"/>
      <w:bookmarkEnd w:id="1694"/>
      <w:bookmarkEnd w:id="1695"/>
      <w:bookmarkEnd w:id="1696"/>
      <w:bookmarkEnd w:id="1697"/>
      <w:bookmarkEnd w:id="1698"/>
      <w:bookmarkEnd w:id="1699"/>
      <w:r>
        <w:rPr>
          <w:rFonts w:ascii="Times New Roman;Times;serif" w:hAnsi="Times New Roman;Times;serif"/>
          <w:sz w:val="20"/>
        </w:rPr>
        <w:t>The liability is being amortized using the effective interest method over the life of the arrangement, in accordance with the respective guidance, utilizing the prospective method to account for subsequent changes in the estimated future payments to be made to Royalty Pharma and the Company updates the effective interest rate on a quarterly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shows the activity within the “liability for sale of future royalties- current” and “liability for sale of future royalties- noncurrent” accounts for the six months ended June 30, 2026:</w:t>
      </w:r>
    </w:p>
    <w:p>
      <w:pPr>
        <w:pStyle w:val="TextBody"/>
        <w:bidi w:val="0"/>
        <w:spacing w:before="0" w:after="0"/>
        <w:ind w:left="0" w:right="0" w:hanging="0"/>
        <w:jc w:val="left"/>
        <w:rPr/>
      </w:pPr>
      <w:r>
        <w:rPr/>
        <w:t>​</w:t>
      </w:r>
    </w:p>
    <w:tbl>
      <w:tblPr>
        <w:tblW w:w="7536" w:type="dxa"/>
        <w:jc w:val="left"/>
        <w:tblInd w:w="0" w:type="dxa"/>
        <w:tblLayout w:type="fixed"/>
        <w:tblCellMar>
          <w:top w:w="0" w:type="dxa"/>
          <w:left w:w="0" w:type="dxa"/>
          <w:bottom w:w="0" w:type="dxa"/>
          <w:right w:w="0" w:type="dxa"/>
        </w:tblCellMar>
      </w:tblPr>
      <w:tblGrid>
        <w:gridCol w:w="4921"/>
        <w:gridCol w:w="346"/>
        <w:gridCol w:w="390"/>
        <w:gridCol w:w="1725"/>
        <w:gridCol w:w="154"/>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124835" cy="175260"/>
                      <wp:effectExtent l="0" t="0" r="0" b="0"/>
                      <wp:wrapNone/>
                      <wp:docPr id="389" name="Frame389"/>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7650" cy="175260"/>
                      <wp:effectExtent l="0" t="0" r="0" b="0"/>
                      <wp:wrapNone/>
                      <wp:docPr id="391" name="Frame39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095375" cy="175260"/>
                      <wp:effectExtent l="0" t="0" r="0" b="0"/>
                      <wp:wrapNone/>
                      <wp:docPr id="392" name="Frame392"/>
                      <a:graphic xmlns:a="http://schemas.openxmlformats.org/drawingml/2006/main">
                        <a:graphicData uri="http://schemas.microsoft.com/office/word/2010/wordprocessingShape">
                          <wps:wsp>
                            <wps:cNvSpPr txBox="1"/>
                            <wps:spPr>
                              <a:xfrm>
                                <a:off x="0" y="0"/>
                                <a:ext cx="1095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97790" cy="175260"/>
                      <wp:effectExtent l="0" t="0" r="0" b="0"/>
                      <wp:wrapNone/>
                      <wp:docPr id="393" name="Frame3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center"/>
              <w:rPr/>
            </w:pPr>
            <w:r>
              <w:rPr/>
              <w:t>​</w: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Liability for sale of future royalties- (current and noncurrent)</w:t>
            </w:r>
          </w:p>
        </w:tc>
        <w:tc>
          <w:tcPr>
            <w:tcW w:w="346" w:type="dxa"/>
            <w:tcBorders/>
            <w:vAlign w:val="center"/>
          </w:tcPr>
          <w:p>
            <w:pPr>
              <w:pStyle w:val="TableContents"/>
              <w:bidi w:val="0"/>
              <w:spacing w:before="0" w:after="0"/>
              <w:ind w:left="0" w:right="0" w:hanging="0"/>
              <w:jc w:val="left"/>
              <w:rPr/>
            </w:pPr>
            <w:r>
              <w:rPr/>
              <w:t>​</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Non-cash royalty revenue payable to Royalty Pharma</w:t>
            </w:r>
          </w:p>
        </w:tc>
        <w:tc>
          <w:tcPr>
            <w:tcW w:w="34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1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(117,940)</w:t>
            </w:r>
          </w:p>
        </w:tc>
        <w:tc>
          <w:tcPr>
            <w:tcW w:w="154"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Non-cash interest expense recognized</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2,321,434</w:t>
            </w:r>
          </w:p>
        </w:tc>
        <w:tc>
          <w:tcPr>
            <w:tcW w:w="154"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 </w:t>
            </w:r>
          </w:p>
        </w:tc>
        <w:tc>
          <w:tcPr>
            <w:tcW w:w="1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interest expense is recorded in the statement of operations within “Interest expense, net”.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2031 Convertible Notes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In June 2026, the Company issued, at par value, $550.0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aggregate principal amount of 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convertible senior notes due 2031 (the “2031 Convertible Notes”), which reflects the exercise in full by the initial purchasers of their option to purchase up to an additional $50.0</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million in aggregate principal amount of the 2031 Convertible Notes. The net proceeds to the Company from the offering were approximately $535.4</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after deducting the initial purchasers’ discounts and commissions and the estimated offering expenses payable by the Company. The 2031 Convertible Notes do not bear regular interest and the principal amounts of the 2031 Convertible Notes will not accrete.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shd w:fill="FFFFFF" w:val="clear"/>
        </w:rPr>
        <w:t xml:space="preserve">The 2031 Convertible Notes are </w:t>
      </w:r>
      <w:r>
        <w:rPr>
          <w:rFonts w:ascii="Times New Roman;Times;serif" w:hAnsi="Times New Roman;Times;serif"/>
          <w:i w:val="false"/>
          <w:caps w:val="false"/>
          <w:smallCaps w:val="false"/>
          <w:sz w:val="20"/>
        </w:rPr>
        <w:t>governed by an indenture (the “2031 Convertible Notes Indenture”) with U.S Bank Trust Company National Association as trustee (the “2031 Convertible Notes Trustee”).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shd w:fill="FFFFFF" w:val="clear"/>
        </w:rPr>
        <w:t xml:space="preserve">The 2031 Convertible Notes may bear special interest under specified circumstances relating to the Company’s failure to comply with its reporting obligations under the </w:t>
      </w:r>
      <w:r>
        <w:rPr>
          <w:rFonts w:ascii="Times New Roman;Times;serif" w:hAnsi="Times New Roman;Times;serif"/>
          <w:i w:val="false"/>
          <w:caps w:val="false"/>
          <w:smallCaps w:val="false"/>
          <w:sz w:val="20"/>
        </w:rPr>
        <w:t>2031 Convertible Notes Indenture</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 xml:space="preserve">or if the </w:t>
      </w:r>
      <w:r>
        <w:rPr>
          <w:rFonts w:ascii="Times New Roman;Times;serif" w:hAnsi="Times New Roman;Times;serif"/>
          <w:i w:val="false"/>
          <w:caps w:val="false"/>
          <w:smallCaps w:val="false"/>
          <w:sz w:val="20"/>
        </w:rPr>
        <w:t>2031 Convertible Notes</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 xml:space="preserve">are not freely tradeable as required by the </w:t>
      </w:r>
      <w:r>
        <w:rPr>
          <w:rFonts w:ascii="Times New Roman;Times;serif" w:hAnsi="Times New Roman;Times;serif"/>
          <w:i w:val="false"/>
          <w:caps w:val="false"/>
          <w:smallCaps w:val="false"/>
          <w:sz w:val="20"/>
        </w:rPr>
        <w:t>2031 Convertible Notes Indenture</w:t>
      </w:r>
      <w:r>
        <w:rPr>
          <w:rFonts w:ascii="Times New Roman;Times;serif" w:hAnsi="Times New Roman;Times;serif"/>
          <w:i w:val="false"/>
          <w:caps w:val="false"/>
          <w:smallCaps w:val="false"/>
          <w:sz w:val="20"/>
          <w:shd w:fill="FFFFFF" w:val="clear"/>
        </w:rPr>
        <w:t>.</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shd w:fill="FFFFFF" w:val="clear"/>
        </w:rPr>
        <w:t xml:space="preserve">Special interest, if any, will be payable semiannually in arrears on June 15 and December 15 of each year, beginning on December 15, 2026 (if and to the extent that special interest is payable). The </w:t>
      </w:r>
      <w:r>
        <w:rPr>
          <w:rFonts w:ascii="Times New Roman;Times;serif" w:hAnsi="Times New Roman;Times;serif"/>
          <w:i w:val="false"/>
          <w:caps w:val="false"/>
          <w:smallCaps w:val="false"/>
          <w:sz w:val="20"/>
        </w:rPr>
        <w:t>2031 Convertible Notes</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will mature on June 15, 2031, unless earlier converted, redeemed or repurchased pursuant to their terms.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initial conversion rate of the 2031 Convertible Notes is 9.3042 shares of the Company’s common stock, per $1,000 principal amount of 2031 Convertible Notes (which is equivalent to an initial conversion price of approximately $107.48 per share). The conversion rate will be subject to adjustment upon the occurrence of certain specified events but will not be adjusted for any accrued and unpaid special interest. In addition, upon the occurrence of a make-whole fundamental change (as defined in the 2031 Convertible Notes Indenture) or an issuance of a notice of redemption, the Company will, in certain circumstances, increase the conversion rate by a number of additional shares for a holder that elects to convert its 2031 Convertible Notes in connection with such make-whole fundamental change or notice of redemption.</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Holders may convert all or any portion of their 2031 Convertible Notes at their option at any time prior to the close of business on the business day immediately preceding March 15, 2031 only under the following circumstances: (1) during any calendar quarter commencing after the calendar quarter ending on September 30, 2026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 period after any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consecutive trading day period (the “measurement period”) in which the trading price per $1,000 principal amount of 2031 Convertible Notes for each trading day of the measurement period was less than 98%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bookmarkStart w:id="1700" w:name="Tc_tdULOtW8vEOL_cAw_bkX3g_5_6"/>
      <w:bookmarkStart w:id="1701" w:name="Tc_n5xEBN16vUKib0BEzsZTnQ_5_0"/>
      <w:bookmarkStart w:id="1702" w:name="Tc_-H_DxpruY02zDt3CywOccg_4_6"/>
      <w:bookmarkStart w:id="1703" w:name="Tc_jocElLlRDUOUIe0Mm--O3g_4_5"/>
      <w:bookmarkStart w:id="1704" w:name="Tc_KhAZGRRz3UClAKONX1y_xQ_4_2"/>
      <w:bookmarkStart w:id="1705" w:name="Tc_okvMkhMaJ0-hBsQluNmEsg_4_0"/>
      <w:bookmarkStart w:id="1706" w:name="Tc_GNj9A7wKAk-j7Oz6wf38-A_3_5"/>
      <w:bookmarkStart w:id="1707" w:name="Tc_keQC-cgou0iCHjAzKmvMbw_3_2"/>
      <w:bookmarkEnd w:id="1700"/>
      <w:bookmarkEnd w:id="1701"/>
      <w:bookmarkEnd w:id="1702"/>
      <w:bookmarkEnd w:id="1703"/>
      <w:bookmarkEnd w:id="1704"/>
      <w:bookmarkEnd w:id="1705"/>
      <w:bookmarkEnd w:id="1706"/>
      <w:bookmarkEnd w:id="1707"/>
      <w:r>
        <w:rPr>
          <w:rFonts w:ascii="Times New Roman;Times;serif" w:hAnsi="Times New Roman;Times;serif"/>
          <w:sz w:val="20"/>
        </w:rPr>
        <w:t>product of the last reported sale price of the common stock and the conversion rate on each such trading day; (3) if the Company calls any or all of the 2031 Convertible Notes for redemption, at any time prior to the close of business on the second scheduled trading day immediately preceding the relevant redemption date; or (4) upon the occurrence of specified corporate events. On or after March 15, 2031 until the close of business on the second scheduled trading day immediately preceding the maturity date, holders may convert all or any portion of their 2031 Convertible Notes at any time, regardless of the foregoing circumstances. Upon conversion, the Company will satisfy its conversion obligation by paying or delivering, as the case may be, cash, shares of Common Stock or a combination of cash and shares of common stock, at the Company’s election.</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not redeem the 2031 Convertible Notes prior to June 20, 2029. The Company may redeem for cash all or any portion of the 2031 Convertible Notes, at the Company’s option, on or after June 20, 2029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written notice of redemption at a redemption price equal to 100% of the principal amount of the 2031 Convertible Notes to be redeemed, </w:t>
      </w:r>
      <w:r>
        <w:rPr>
          <w:rFonts w:ascii="Times New Roman;Times;serif" w:hAnsi="Times New Roman;Times;serif"/>
          <w:i/>
          <w:sz w:val="20"/>
        </w:rPr>
        <w:t>plus</w:t>
      </w:r>
      <w:r>
        <w:rPr>
          <w:rFonts w:ascii="Times New Roman;Times;serif" w:hAnsi="Times New Roman;Times;serif"/>
          <w:sz w:val="20"/>
        </w:rPr>
        <w:t> any accrued and unpaid special interest to, but excluding, the redemption date. No “sinking fund” is provided for the 2031 Convertible Notes.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 xml:space="preserve">If the Company undergoes a fundamental change (as defined in the </w:t>
      </w:r>
      <w:r>
        <w:rPr>
          <w:rFonts w:ascii="Times New Roman;Times;serif" w:hAnsi="Times New Roman;Times;serif"/>
          <w:sz w:val="20"/>
        </w:rPr>
        <w:t>2031 Convertible Notes</w:t>
      </w:r>
      <w:r>
        <w:rPr>
          <w:rFonts w:ascii="Times New Roman;Times;serif" w:hAnsi="Times New Roman;Times;serif"/>
          <w:color w:val="231F20"/>
          <w:sz w:val="20"/>
        </w:rPr>
        <w:t xml:space="preserve"> Indenture) prior to the maturity date, then, subject to certain conditions, holders of </w:t>
      </w:r>
      <w:r>
        <w:rPr>
          <w:rFonts w:ascii="Times New Roman;Times;serif" w:hAnsi="Times New Roman;Times;serif"/>
          <w:sz w:val="20"/>
        </w:rPr>
        <w:t>2031 Convertible Notes</w:t>
      </w:r>
      <w:r>
        <w:rPr>
          <w:rFonts w:ascii="Times New Roman;Times;serif" w:hAnsi="Times New Roman;Times;serif"/>
          <w:color w:val="231F20"/>
          <w:sz w:val="20"/>
        </w:rPr>
        <w:t xml:space="preserve"> may require the Company to repurchase for cash all or any portion of their </w:t>
      </w:r>
      <w:r>
        <w:rPr>
          <w:rFonts w:ascii="Times New Roman;Times;serif" w:hAnsi="Times New Roman;Times;serif"/>
          <w:sz w:val="20"/>
        </w:rPr>
        <w:t>2031 Convertible Notes</w:t>
      </w:r>
      <w:r>
        <w:rPr>
          <w:rFonts w:ascii="Times New Roman;Times;serif" w:hAnsi="Times New Roman;Times;serif"/>
          <w:color w:val="231F20"/>
          <w:sz w:val="20"/>
        </w:rPr>
        <w:t xml:space="preserve"> at a fundamental change repurchase price equal to 100% of the principal amount of the </w:t>
      </w:r>
      <w:r>
        <w:rPr>
          <w:rFonts w:ascii="Times New Roman;Times;serif" w:hAnsi="Times New Roman;Times;serif"/>
          <w:sz w:val="20"/>
        </w:rPr>
        <w:t>2031 Convertible Notes</w:t>
      </w:r>
      <w:r>
        <w:rPr>
          <w:rFonts w:ascii="Times New Roman;Times;serif" w:hAnsi="Times New Roman;Times;serif"/>
          <w:color w:val="231F20"/>
          <w:sz w:val="20"/>
        </w:rPr>
        <w:t xml:space="preserve"> to be repurchased, plus any accrued and unpaid special interest to, but excluding, the fundamental change repurchase date.</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2031 Convertible Notes are the Company’s general unsecured, senior obligations and will rank senior in right of payment to any of its indebtedness that is expressly subordinated in right of payment to the 2031 Convertible Notes; equal in right of payment with all of the Company’s existing and future unsecured indebtedness that is not so subordinated (including any of the Company’s outstanding 2026 Convertible Notes); effectively junior in right of payment to any of the Company’s senior, secured indebtedness to the extent of the value of the assets securing such indebtedness; and structurally junior to all indebtedness and other liabilities (including trade payables) of the Company’s current or future subsidiaries.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2031 Convertible Notes Indenture contains customary events of default with respect to the 2031 Convertible Notes, including that upon certain events of default (including the Company’s failure to make any payment of principal or any special interest on the Notes when due and payable) occurring and continuing, the 2031 Convertible Notes Trustee by written notice to the Company, or the holders of at least 25% in principal amount of the outstanding 2031 Convertible Notes by notice to the Company and the 2031 Convertible Notes Trustee, may (subject to the provisions of the 2031 Convertible Notes Indenture) declare 100% of the principal of and accrued and unpaid special interest, if any, on all the 2031 Convertible Notes to be due and payable. In case of certain events of bankruptcy, insolvency or reorganization, involving the Company or a significant subsidiary, 100% of the principal of and accrued and unpaid special interest, if any, on the 2031 Convertible Notes will automatically become due and payable without any further act or declaration on the part of the holders or the 2031 Convertible Notes Trustee. Upon such a declaration of acceleration, such principal and accrued and unpaid special interest, if any, will be due and payable immediately.</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accounted for the 2031 Convertible Notes as a single liability measured at amortized cost. The debt issuance costs were recorded as a direct deduction from the face value of the 2031 Convertible Notes and will be amortized to interest expense over the five-year term of the 2031 Convertible Notes using the effective interest rate method.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2031 Convertible Notes consist of the following:</w:t>
      </w:r>
    </w:p>
    <w:p>
      <w:pPr>
        <w:pStyle w:val="TextBody"/>
        <w:bidi w:val="0"/>
        <w:spacing w:before="0" w:after="0"/>
        <w:ind w:left="0" w:right="0" w:hanging="0"/>
        <w:jc w:val="left"/>
        <w:rPr/>
      </w:pPr>
      <w:r>
        <w:rPr/>
        <w:t>​</w:t>
      </w:r>
    </w:p>
    <w:tbl>
      <w:tblPr>
        <w:tblW w:w="5634" w:type="dxa"/>
        <w:jc w:val="left"/>
        <w:tblInd w:w="0" w:type="dxa"/>
        <w:tblLayout w:type="fixed"/>
        <w:tblCellMar>
          <w:top w:w="0" w:type="dxa"/>
          <w:left w:w="0" w:type="dxa"/>
          <w:bottom w:w="0" w:type="dxa"/>
          <w:right w:w="0" w:type="dxa"/>
        </w:tblCellMar>
      </w:tblPr>
      <w:tblGrid>
        <w:gridCol w:w="2161"/>
        <w:gridCol w:w="346"/>
        <w:gridCol w:w="239"/>
        <w:gridCol w:w="887"/>
        <w:gridCol w:w="346"/>
        <w:gridCol w:w="568"/>
        <w:gridCol w:w="933"/>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72235" cy="175260"/>
                      <wp:effectExtent l="0" t="0" r="0" b="0"/>
                      <wp:wrapNone/>
                      <wp:docPr id="394" name="Frame39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51765" cy="175260"/>
                      <wp:effectExtent l="0" t="0" r="0" b="0"/>
                      <wp:wrapNone/>
                      <wp:docPr id="396" name="Frame39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63245" cy="175260"/>
                      <wp:effectExtent l="0" t="0" r="0" b="0"/>
                      <wp:wrapNone/>
                      <wp:docPr id="397" name="Frame39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60680" cy="175260"/>
                      <wp:effectExtent l="0" t="0" r="0" b="0"/>
                      <wp:wrapNone/>
                      <wp:docPr id="399" name="Frame399"/>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92455" cy="175260"/>
                      <wp:effectExtent l="0" t="0" r="0" b="0"/>
                      <wp:wrapNone/>
                      <wp:docPr id="400" name="Frame40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97790" cy="175260"/>
                      <wp:effectExtent l="0" t="0" r="0" b="0"/>
                      <wp:wrapNone/>
                      <wp:docPr id="401" name="Frame4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(14,481)</w:t>
            </w:r>
          </w:p>
        </w:tc>
        <w:tc>
          <w:tcPr>
            <w:tcW w:w="346" w:type="dxa"/>
            <w:tcBorders/>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708" w:name="Tc_fRawNwd8aUy4mn7bTcmZ6g_6_13"/>
      <w:bookmarkStart w:id="1709" w:name="Tc_8v60t4f2MU-e-PVwgciObw_6_12"/>
      <w:bookmarkStart w:id="1710" w:name="Tc_NU3JUrr6JE-lkELkTkcU2A_6_10"/>
      <w:bookmarkStart w:id="1711" w:name="Tc_kbb9qy9zRE-6_-nZRZKiwA_6_7"/>
      <w:bookmarkStart w:id="1712" w:name="Tc_bPCKIkHMeEKB5vhW6gpmJQ_6_6"/>
      <w:bookmarkStart w:id="1713" w:name="Tc_f4gnBMgoW02XHJf36rDaQw_6_4"/>
      <w:bookmarkStart w:id="1714" w:name="Tc_n8VXELFCv0eUwxMjZMvEOg_6_0"/>
      <w:bookmarkStart w:id="1715" w:name="Tc_w8lXe6wxgE2ONRhSNGEsvQ_5_12"/>
      <w:bookmarkStart w:id="1716" w:name="Tc_lllj3eMyM0uu_BvrvIiecQ_5_11"/>
      <w:bookmarkStart w:id="1717" w:name="Tc_3KJv59DT1EeTfOm68-Ej-A_5_8"/>
      <w:bookmarkStart w:id="1718" w:name="Tc_WyuUroy2aEyXCGNGul2NzA_5_6"/>
      <w:bookmarkStart w:id="1719" w:name="Tc_3mFFa3GSnUSDwjp_KYRStQ_5_5"/>
      <w:bookmarkStart w:id="1720" w:name="Tc_am-Qp7EcsUKra0Go36OvqA_5_2"/>
      <w:bookmarkStart w:id="1721" w:name="Tc_viSjenR9i0C-bSNqy0L62A_5_0"/>
      <w:bookmarkStart w:id="1722" w:name="Tc_u7uBkvPvQU-s1bloGajedA_4_12"/>
      <w:bookmarkStart w:id="1723" w:name="Tc_iusC6c9O4kSEmFjKbG835g_4_11"/>
      <w:bookmarkStart w:id="1724" w:name="Tc_XH1My5EWYEeVoE9cHFS5IA_4_8"/>
      <w:bookmarkStart w:id="1725" w:name="Tc_iVScYmYTNkyMtEdFEwiWUQ_4_6"/>
      <w:bookmarkStart w:id="1726" w:name="Tc_JJ1D4FEDcEGZuXDUxfdn8Q_4_5"/>
      <w:bookmarkStart w:id="1727" w:name="Tc_r-BFpcgmP02mQMrYI6eJmQ_4_2"/>
      <w:bookmarkStart w:id="1728" w:name="Tc_RTlLd_65f0yeeJtbv1KB9Q_4_0"/>
      <w:bookmarkStart w:id="1729" w:name="Tc_ncxQezVeWkWJSUKZPm39lw_3_11"/>
      <w:bookmarkStart w:id="1730" w:name="Tc_H6Gk7cxy2EO-Vci_QxWKeA_3_8"/>
      <w:bookmarkStart w:id="1731" w:name="Tc_eVqbbvn0ukyViO1ENfyi5Q_3_5"/>
      <w:bookmarkStart w:id="1732" w:name="Tc_ZXNNfZrqeEqaLMEAPURPFg_3_2"/>
      <w:bookmarkStart w:id="1733" w:name="Tc_o2Be0KF8vU-1wuIjlP7y2Q_2_8"/>
      <w:bookmarkStart w:id="1734" w:name="Tc_Z_DsnkEe30uVboFn51lxfw_2_2"/>
      <w:bookmarkStart w:id="1735" w:name="Tc_DpYNQZ_ZkEa94mbkhqAD3Q_6_6"/>
      <w:bookmarkStart w:id="1736" w:name="Tc_k9GSc1vyn0qCK9Ix-oJFRQ_6_5"/>
      <w:bookmarkStart w:id="1737" w:name="Tc_9tX44EH78UyDx2bhjrx6vw_6_2"/>
      <w:bookmarkStart w:id="1738" w:name="Tc_vGkO7IDKN0iPBhN_KH4p6g_6_0"/>
      <w:bookmarkStart w:id="1739" w:name="Tc_fRawNwd8aUy4mn7bTcmZ6g_6_13"/>
      <w:bookmarkStart w:id="1740" w:name="Tc_8v60t4f2MU-e-PVwgciObw_6_12"/>
      <w:bookmarkStart w:id="1741" w:name="Tc_NU3JUrr6JE-lkELkTkcU2A_6_10"/>
      <w:bookmarkStart w:id="1742" w:name="Tc_kbb9qy9zRE-6_-nZRZKiwA_6_7"/>
      <w:bookmarkStart w:id="1743" w:name="Tc_bPCKIkHMeEKB5vhW6gpmJQ_6_6"/>
      <w:bookmarkStart w:id="1744" w:name="Tc_f4gnBMgoW02XHJf36rDaQw_6_4"/>
      <w:bookmarkStart w:id="1745" w:name="Tc_n8VXELFCv0eUwxMjZMvEOg_6_0"/>
      <w:bookmarkStart w:id="1746" w:name="Tc_w8lXe6wxgE2ONRhSNGEsvQ_5_12"/>
      <w:bookmarkStart w:id="1747" w:name="Tc_lllj3eMyM0uu_BvrvIiecQ_5_11"/>
      <w:bookmarkStart w:id="1748" w:name="Tc_3KJv59DT1EeTfOm68-Ej-A_5_8"/>
      <w:bookmarkStart w:id="1749" w:name="Tc_WyuUroy2aEyXCGNGul2NzA_5_6"/>
      <w:bookmarkStart w:id="1750" w:name="Tc_3mFFa3GSnUSDwjp_KYRStQ_5_5"/>
      <w:bookmarkStart w:id="1751" w:name="Tc_am-Qp7EcsUKra0Go36OvqA_5_2"/>
      <w:bookmarkStart w:id="1752" w:name="Tc_viSjenR9i0C-bSNqy0L62A_5_0"/>
      <w:bookmarkStart w:id="1753" w:name="Tc_u7uBkvPvQU-s1bloGajedA_4_12"/>
      <w:bookmarkStart w:id="1754" w:name="Tc_iusC6c9O4kSEmFjKbG835g_4_11"/>
      <w:bookmarkStart w:id="1755" w:name="Tc_XH1My5EWYEeVoE9cHFS5IA_4_8"/>
      <w:bookmarkStart w:id="1756" w:name="Tc_iVScYmYTNkyMtEdFEwiWUQ_4_6"/>
      <w:bookmarkStart w:id="1757" w:name="Tc_JJ1D4FEDcEGZuXDUxfdn8Q_4_5"/>
      <w:bookmarkStart w:id="1758" w:name="Tc_r-BFpcgmP02mQMrYI6eJmQ_4_2"/>
      <w:bookmarkStart w:id="1759" w:name="Tc_RTlLd_65f0yeeJtbv1KB9Q_4_0"/>
      <w:bookmarkStart w:id="1760" w:name="Tc_ncxQezVeWkWJSUKZPm39lw_3_11"/>
      <w:bookmarkStart w:id="1761" w:name="Tc_H6Gk7cxy2EO-Vci_QxWKeA_3_8"/>
      <w:bookmarkStart w:id="1762" w:name="Tc_eVqbbvn0ukyViO1ENfyi5Q_3_5"/>
      <w:bookmarkStart w:id="1763" w:name="Tc_ZXNNfZrqeEqaLMEAPURPFg_3_2"/>
      <w:bookmarkStart w:id="1764" w:name="Tc_o2Be0KF8vU-1wuIjlP7y2Q_2_8"/>
      <w:bookmarkStart w:id="1765" w:name="Tc_Z_DsnkEe30uVboFn51lxfw_2_2"/>
      <w:bookmarkStart w:id="1766" w:name="Tc_DpYNQZ_ZkEa94mbkhqAD3Q_6_6"/>
      <w:bookmarkStart w:id="1767" w:name="Tc_k9GSc1vyn0qCK9Ix-oJFRQ_6_5"/>
      <w:bookmarkStart w:id="1768" w:name="Tc_9tX44EH78UyDx2bhjrx6vw_6_2"/>
      <w:bookmarkStart w:id="1769" w:name="Tc_vGkO7IDKN0iPBhN_KH4p6g_6_0"/>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p>
    <w:tbl>
      <w:tblPr>
        <w:tblW w:w="3707" w:type="dxa"/>
        <w:jc w:val="left"/>
        <w:tblInd w:w="0" w:type="dxa"/>
        <w:tblLayout w:type="fixed"/>
        <w:tblCellMar>
          <w:top w:w="0" w:type="dxa"/>
          <w:left w:w="0" w:type="dxa"/>
          <w:bottom w:w="0" w:type="dxa"/>
          <w:right w:w="0" w:type="dxa"/>
        </w:tblCellMar>
      </w:tblPr>
      <w:tblGrid>
        <w:gridCol w:w="1786"/>
        <w:gridCol w:w="109"/>
        <w:gridCol w:w="211"/>
        <w:gridCol w:w="781"/>
        <w:gridCol w:w="109"/>
        <w:gridCol w:w="211"/>
        <w:gridCol w:w="346"/>
        <w:gridCol w:w="154"/>
      </w:tblGrid>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535,519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pBdr/>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the remaining contractual life of the 2031 Convertible Notes is approximately 5.0 years.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total interest expense recognized related to the 2031 Convertible Notes:</w:t>
      </w:r>
    </w:p>
    <w:p>
      <w:pPr>
        <w:pStyle w:val="TextBody"/>
        <w:bidi w:val="0"/>
        <w:spacing w:before="0" w:after="0"/>
        <w:ind w:left="0" w:right="0" w:hanging="0"/>
        <w:jc w:val="left"/>
        <w:rPr/>
      </w:pPr>
      <w:r>
        <w:rPr/>
        <w:t>​</w:t>
      </w:r>
    </w:p>
    <w:tbl>
      <w:tblPr>
        <w:tblW w:w="8540" w:type="dxa"/>
        <w:jc w:val="left"/>
        <w:tblInd w:w="0" w:type="dxa"/>
        <w:tblLayout w:type="fixed"/>
        <w:tblCellMar>
          <w:top w:w="0" w:type="dxa"/>
          <w:left w:w="0" w:type="dxa"/>
          <w:bottom w:w="0" w:type="dxa"/>
          <w:right w:w="0" w:type="dxa"/>
        </w:tblCellMar>
      </w:tblPr>
      <w:tblGrid>
        <w:gridCol w:w="3001"/>
        <w:gridCol w:w="346"/>
        <w:gridCol w:w="314"/>
        <w:gridCol w:w="627"/>
        <w:gridCol w:w="538"/>
        <w:gridCol w:w="314"/>
        <w:gridCol w:w="515"/>
        <w:gridCol w:w="346"/>
        <w:gridCol w:w="288"/>
        <w:gridCol w:w="574"/>
        <w:gridCol w:w="492"/>
        <w:gridCol w:w="288"/>
        <w:gridCol w:w="472"/>
        <w:gridCol w:w="271"/>
        <w:gridCol w:w="15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905635" cy="175260"/>
                      <wp:effectExtent l="0" t="0" r="0" b="0"/>
                      <wp:wrapNone/>
                      <wp:docPr id="402" name="Frame402"/>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99390" cy="175260"/>
                      <wp:effectExtent l="0" t="0" r="0" b="0"/>
                      <wp:wrapNone/>
                      <wp:docPr id="404" name="Frame40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98145" cy="175260"/>
                      <wp:effectExtent l="0" t="0" r="0" b="0"/>
                      <wp:wrapNone/>
                      <wp:docPr id="405" name="Frame405"/>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41630" cy="175260"/>
                      <wp:effectExtent l="0" t="0" r="0" b="0"/>
                      <wp:wrapNone/>
                      <wp:docPr id="406" name="Frame406"/>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99390" cy="175260"/>
                      <wp:effectExtent l="0" t="0" r="0" b="0"/>
                      <wp:wrapNone/>
                      <wp:docPr id="407" name="Frame407"/>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27025" cy="175260"/>
                      <wp:effectExtent l="0" t="0" r="0" b="0"/>
                      <wp:wrapNone/>
                      <wp:docPr id="408" name="Frame40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82880" cy="175260"/>
                      <wp:effectExtent l="0" t="0" r="0" b="0"/>
                      <wp:wrapNone/>
                      <wp:docPr id="410" name="Frame41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64490" cy="175260"/>
                      <wp:effectExtent l="0" t="0" r="0" b="0"/>
                      <wp:wrapNone/>
                      <wp:docPr id="411" name="Frame411"/>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12420" cy="175260"/>
                      <wp:effectExtent l="0" t="0" r="0" b="0"/>
                      <wp:wrapNone/>
                      <wp:docPr id="412" name="Frame412"/>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2880" cy="175260"/>
                      <wp:effectExtent l="0" t="0" r="0" b="0"/>
                      <wp:wrapNone/>
                      <wp:docPr id="413" name="Frame41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99720" cy="175260"/>
                      <wp:effectExtent l="0" t="0" r="0" b="0"/>
                      <wp:wrapNone/>
                      <wp:docPr id="414" name="Frame414"/>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72085" cy="175260"/>
                      <wp:effectExtent l="0" t="0" r="0" b="0"/>
                      <wp:wrapNone/>
                      <wp:docPr id="415" name="Frame4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97790" cy="175260"/>
                      <wp:effectExtent l="0" t="0" r="0" b="0"/>
                      <wp:wrapNone/>
                      <wp:docPr id="416" name="Frame4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left"/>
              <w:rPr/>
            </w:pPr>
            <w:r>
              <w:rPr/>
              <w:t>​</w:t>
            </w:r>
          </w:p>
        </w:tc>
        <w:tc>
          <w:tcPr>
            <w:tcW w:w="538"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288"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472"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 </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8" w:type="dxa"/>
            <w:tcBorders/>
            <w:vAlign w:val="center"/>
          </w:tcPr>
          <w:p>
            <w:pPr>
              <w:pStyle w:val="TableContents"/>
              <w:bidi w:val="0"/>
              <w:spacing w:before="0" w:after="1"/>
              <w:ind w:left="0" w:right="0" w:hanging="0"/>
              <w:jc w:val="center"/>
              <w:rPr/>
            </w:pPr>
            <w:r>
              <w:rPr/>
              <w:t>  ​ ​ ​</w:t>
            </w:r>
          </w:p>
        </w:tc>
        <w:tc>
          <w:tcPr>
            <w:tcW w:w="8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2" w:type="dxa"/>
            <w:tcBorders/>
            <w:vAlign w:val="center"/>
          </w:tcPr>
          <w:p>
            <w:pPr>
              <w:pStyle w:val="TableContents"/>
              <w:bidi w:val="0"/>
              <w:spacing w:before="0" w:after="1"/>
              <w:ind w:left="0" w:right="0" w:hanging="0"/>
              <w:jc w:val="center"/>
              <w:rPr/>
            </w:pPr>
            <w:r>
              <w:rPr/>
              <w:t>  ​ ​ ​</w:t>
            </w:r>
          </w:p>
        </w:tc>
        <w:tc>
          <w:tcPr>
            <w:tcW w:w="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538"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92"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538"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92"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4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2026 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net proceeds to the Company from the offering were $279.3 million after deducting the initial purchasers’ discounts and commissions and the offering expenses payable by the Company. The 2026 Convertible Notes bear cash interest at a rate of 1.50% per year, payable semi-annually on March 15 and September 15 of each year, beginning on March 15, 2020. The 2026 Convertible Notes will mature on September 15, 2026, unless earlier repurchased or converted.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are governed by an indenture (the “2026 Convertible Notes Indenture”) with U.S. Bank National Association as trustee (the “2026 Convertible Notes Trustee”).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Beginning March 15, 2026, until the close of business on the business day immediately preceding the maturity date, holders may convert their 2026 Convertible Notes at any time. As of June 30, 2026, the 2026 Convertible Notes are convertible. Upon conversion, the Company will pay or deliver, as the case may be, cash, shares of the Company’s common stock or any combination thereof at the Company’s 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was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 As of June 30, 2026, the 2026 Convertible Notes were redeemable.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70" w:name="Tc_0-lFiQUW30eqzJ4PXb08MA_6_13"/>
      <w:bookmarkStart w:id="1771" w:name="Tc_w891sxjT4Uav1_hO-N8oIQ_6_10"/>
      <w:bookmarkStart w:id="1772" w:name="Tc_tsJSzvnQXUeQ9DkwnYyang_6_7"/>
      <w:bookmarkStart w:id="1773" w:name="Tc_pb3JF07U0E25MqsykJRTwQ_6_4"/>
      <w:bookmarkStart w:id="1774" w:name="Tc_a2KbomoWFEyZIKL7Hrklxg_6_0"/>
      <w:bookmarkStart w:id="1775" w:name="Tc_DhbcM4dFk0ysSNAoEvCVNw_5_11"/>
      <w:bookmarkStart w:id="1776" w:name="Tc_ZRAZRVpfd0GdPD12I9Nweg_5_8"/>
      <w:bookmarkStart w:id="1777" w:name="Tc_JcyC4gHO6UegLlQu4VIXZQ_5_5"/>
      <w:bookmarkStart w:id="1778" w:name="Tc_P0MCXzEEL0qi1vMMQUnr4w_5_2"/>
      <w:bookmarkStart w:id="1779" w:name="Tc_lug_RicDIU-ioJwKcALDJw_5_0"/>
      <w:bookmarkStart w:id="1780" w:name="Tc_jSbMeZybt0eUYe2XLlXlAw_4_0"/>
      <w:bookmarkStart w:id="1781" w:name="Tc_M8vhqoowe0m85LaGA6-w8g_3_11"/>
      <w:bookmarkStart w:id="1782" w:name="Tc_BjqrsEM8s0q0o8z0wg1iIQ_3_8"/>
      <w:bookmarkStart w:id="1783" w:name="Tc_ECZS0cBcP06AJCQih-XAEA_3_5"/>
      <w:bookmarkStart w:id="1784" w:name="Tc_x2hMYL8D9Uq0dd8C_jUpHA_3_2"/>
      <w:bookmarkStart w:id="1785" w:name="Tc_aEN9JkK7xUCz-Ea-YGiZtA_3_0"/>
      <w:bookmarkStart w:id="1786" w:name="Tc_FvWKxAB5GEqqu0qjA6GZaQ_2_11"/>
      <w:bookmarkStart w:id="1787" w:name="Tc_jf2ZjnM980WPS9GPC7RzRA_2_8"/>
      <w:bookmarkStart w:id="1788" w:name="Tc_oz8ozjus5EeFPTW_PsVfSg_2_5"/>
      <w:bookmarkStart w:id="1789" w:name="Tc_z358Coe91kGqpDnGz-i4eg_2_2"/>
      <w:bookmarkStart w:id="1790" w:name="Tc_yVkYNGJ-4UuZbW1aeuy44w_1_9"/>
      <w:bookmarkStart w:id="1791" w:name="Tc_bFSrOjJB-0SWXkUWYoOSVA_1_3"/>
      <w:bookmarkStart w:id="1792" w:name="Tc_MI4EId7AM0i7xvYBiwIxkw_7_5"/>
      <w:bookmarkStart w:id="1793" w:name="Tc_1c1aGX5rbkmv4wxth-xSEQ_7_2"/>
      <w:bookmarkStart w:id="1794" w:name="Tc_5JrhXgbWGEO6sk_5-zrMOg_7_0"/>
      <w:bookmarkStart w:id="1795" w:name="Tc_MWP5_m2qCUCz4PCkeeeQUA_6_0"/>
      <w:bookmarkStart w:id="1796" w:name="Tc_aTFicqPykUiUCl_d1bv33Q_5_6"/>
      <w:bookmarkStart w:id="1797" w:name="Tc_BjLRXx8eOke_NVWEih_1gA_5_0"/>
      <w:bookmarkStart w:id="1798" w:name="Tc_VQoUjsSRVU6gFZsCe5gL6Q_4_6"/>
      <w:bookmarkStart w:id="1799" w:name="Tc_TmiCKrN3fkWhU4W79b_X2w_4_0"/>
      <w:bookmarkStart w:id="1800" w:name="Tc_yNdK7ijW4kynaP5lh7XP0g_3_5"/>
      <w:bookmarkStart w:id="1801" w:name="Tc_kSuxz6vfikG4glKal0GdoA_3_2"/>
      <w:bookmarkStart w:id="1802" w:name="Tc_k13s7jw620yUML2wRG_7sg_3_0"/>
      <w:bookmarkStart w:id="1803" w:name="Tc_lLARUZGJ6kG6Kbu9x6J_Dw_2_5"/>
      <w:bookmarkStart w:id="1804" w:name="Tc_rVPfdH4lgEK8RU541RoTDw_2_2"/>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sz w:val="20"/>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(including any of the Company’s outstanding 2031 Convertible Notes),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will,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issuance of the 2031 Convertible Notes, in June 2026 the Company used approximately $328.8 million of the net proceeds of the 2031 Convertible Notes to repurchase for cash $222.0 million aggregate principal amount of its 2026 Convertible Notes pursuant to privately negotiated transactions with certain holders entered into concurrently with the pricing of the offering of the 2031 Convertible Notes. The repurchase of the 2026 Convertible Notes was accounted for as an induced conversion in accordance with ASC-470-20. The excess of the fair value of the repurchase price over the if-converted value was $3.4 million and was recorded as inducement expense within other expense, net on the consolidated statements of operations. The net carrying amount of the repurchased 2026 Convertible Notes was derecognized, and the difference between the if-converted value and the net carrying amount of $102.7 million was recognized as a reduction in additional paid-in capital within the consolidated statement of stockholders’ deficit.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 holder converted a portion of the 2026 Convertible Notes with a principal amount of $10.0 million in exchange for $12.9 million in cash and 3,506 shares of the Company’s common stock. The Company recorded a $10.0 million reduction to the carrying value of the 2026 Convertible Notes, and the excess of $2.9 million was recognized as a reduction in additional paid-in capital within the Company’s statement of stockholders’ deficit.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2026 Convertible Notes consist of the following:</w:t>
      </w:r>
    </w:p>
    <w:p>
      <w:pPr>
        <w:pStyle w:val="TextBody"/>
        <w:bidi w:val="0"/>
        <w:spacing w:before="0" w:after="240"/>
        <w:ind w:left="0" w:right="0" w:hanging="0"/>
        <w:jc w:val="both"/>
        <w:rPr/>
      </w:pPr>
      <w:r>
        <w:rPr/>
        <w:t>​</w:t>
      </w:r>
    </w:p>
    <w:tbl>
      <w:tblPr>
        <w:tblW w:w="6807" w:type="dxa"/>
        <w:jc w:val="left"/>
        <w:tblInd w:w="0" w:type="dxa"/>
        <w:tblLayout w:type="fixed"/>
        <w:tblCellMar>
          <w:top w:w="0" w:type="dxa"/>
          <w:left w:w="0" w:type="dxa"/>
          <w:bottom w:w="0" w:type="dxa"/>
          <w:right w:w="0" w:type="dxa"/>
        </w:tblCellMar>
      </w:tblPr>
      <w:tblGrid>
        <w:gridCol w:w="3571"/>
        <w:gridCol w:w="346"/>
        <w:gridCol w:w="225"/>
        <w:gridCol w:w="901"/>
        <w:gridCol w:w="109"/>
        <w:gridCol w:w="319"/>
        <w:gridCol w:w="1182"/>
        <w:gridCol w:w="154"/>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267585" cy="175260"/>
                      <wp:effectExtent l="0" t="0" r="0" b="0"/>
                      <wp:wrapNone/>
                      <wp:docPr id="417" name="Frame417"/>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42875" cy="175260"/>
                      <wp:effectExtent l="0" t="0" r="0" b="0"/>
                      <wp:wrapNone/>
                      <wp:docPr id="419" name="Frame41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72135" cy="175260"/>
                      <wp:effectExtent l="0" t="0" r="0" b="0"/>
                      <wp:wrapNone/>
                      <wp:docPr id="420" name="Frame4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2565" cy="175260"/>
                      <wp:effectExtent l="0" t="0" r="0" b="0"/>
                      <wp:wrapNone/>
                      <wp:docPr id="422" name="Frame42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50570" cy="175260"/>
                      <wp:effectExtent l="0" t="0" r="0" b="0"/>
                      <wp:wrapNone/>
                      <wp:docPr id="423" name="Frame42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97790" cy="175260"/>
                      <wp:effectExtent l="0" t="0" r="0" b="0"/>
                      <wp:wrapNone/>
                      <wp:docPr id="424" name="Frame4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5"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center"/>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the 2026 Convertible Notes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the 2026 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(222,000)</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w:t>
            </w:r>
          </w:p>
        </w:tc>
        <w:tc>
          <w:tcPr>
            <w:tcW w:w="154"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55,451</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286,631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remaining contractual life of the 2026 Convertible Notes is approximately </w:t>
      </w:r>
      <w:r>
        <w:rPr>
          <w:rFonts w:ascii="Times New Roman;Times;serif" w:hAnsi="Times New Roman;Times;serif"/>
          <w:b w:val="false"/>
          <w:i w:val="false"/>
          <w:caps w:val="false"/>
          <w:smallCaps w:val="false"/>
          <w:sz w:val="20"/>
        </w:rPr>
        <w:t>0.2</w:t>
      </w:r>
      <w:r>
        <w:rPr>
          <w:rFonts w:ascii="Times New Roman;Times;serif" w:hAnsi="Times New Roman;Times;serif"/>
          <w:sz w:val="20"/>
        </w:rPr>
        <w:t xml:space="preserve"> years.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sets forth total interest expense recognized related to the 2026 Convertible Notes:</w:t>
      </w:r>
    </w:p>
    <w:p>
      <w:pPr>
        <w:pStyle w:val="TextBody"/>
        <w:bidi w:val="0"/>
        <w:spacing w:before="0" w:after="0"/>
        <w:ind w:left="0" w:right="0" w:hanging="0"/>
        <w:jc w:val="left"/>
        <w:rPr/>
      </w:pPr>
      <w:r>
        <w:rPr/>
        <w:t>​</w:t>
      </w:r>
    </w:p>
    <w:tbl>
      <w:tblPr>
        <w:tblW w:w="8962" w:type="dxa"/>
        <w:jc w:val="left"/>
        <w:tblInd w:w="0" w:type="dxa"/>
        <w:tblLayout w:type="fixed"/>
        <w:tblCellMar>
          <w:top w:w="0" w:type="dxa"/>
          <w:left w:w="0" w:type="dxa"/>
          <w:bottom w:w="0" w:type="dxa"/>
          <w:right w:w="0" w:type="dxa"/>
        </w:tblCellMar>
      </w:tblPr>
      <w:tblGrid>
        <w:gridCol w:w="3001"/>
        <w:gridCol w:w="346"/>
        <w:gridCol w:w="211"/>
        <w:gridCol w:w="812"/>
        <w:gridCol w:w="385"/>
        <w:gridCol w:w="300"/>
        <w:gridCol w:w="812"/>
        <w:gridCol w:w="346"/>
        <w:gridCol w:w="211"/>
        <w:gridCol w:w="743"/>
        <w:gridCol w:w="353"/>
        <w:gridCol w:w="274"/>
        <w:gridCol w:w="743"/>
        <w:gridCol w:w="271"/>
        <w:gridCol w:w="154"/>
      </w:tblGrid>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15620" cy="175260"/>
                      <wp:effectExtent l="0" t="0" r="0" b="0"/>
                      <wp:wrapNone/>
                      <wp:docPr id="427" name="Frame42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44475" cy="175260"/>
                      <wp:effectExtent l="0" t="0" r="0" b="0"/>
                      <wp:wrapNone/>
                      <wp:docPr id="428" name="Frame42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90500" cy="175260"/>
                      <wp:effectExtent l="0" t="0" r="0" b="0"/>
                      <wp:wrapNone/>
                      <wp:docPr id="429" name="Frame42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15620" cy="175260"/>
                      <wp:effectExtent l="0" t="0" r="0" b="0"/>
                      <wp:wrapNone/>
                      <wp:docPr id="430" name="Frame43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71805" cy="175260"/>
                      <wp:effectExtent l="0" t="0" r="0" b="0"/>
                      <wp:wrapNone/>
                      <wp:docPr id="433" name="Frame43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4155" cy="175260"/>
                      <wp:effectExtent l="0" t="0" r="0" b="0"/>
                      <wp:wrapNone/>
                      <wp:docPr id="434" name="Frame43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73990" cy="175260"/>
                      <wp:effectExtent l="0" t="0" r="0" b="0"/>
                      <wp:wrapNone/>
                      <wp:docPr id="435" name="Frame43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71805" cy="175260"/>
                      <wp:effectExtent l="0" t="0" r="0" b="0"/>
                      <wp:wrapNone/>
                      <wp:docPr id="436" name="Frame43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72085" cy="175260"/>
                      <wp:effectExtent l="0" t="0" r="0" b="0"/>
                      <wp:wrapNone/>
                      <wp:docPr id="437" name="Frame4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97790" cy="175260"/>
                      <wp:effectExtent l="0" t="0" r="0" b="0"/>
                      <wp:wrapNone/>
                      <wp:docPr id="438" name="Frame43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3" w:type="dxa"/>
            <w:tcBorders/>
            <w:vAlign w:val="center"/>
          </w:tcPr>
          <w:p>
            <w:pPr>
              <w:pStyle w:val="TableContents"/>
              <w:bidi w:val="0"/>
              <w:spacing w:before="0" w:after="0"/>
              <w:ind w:left="0" w:right="0" w:hanging="0"/>
              <w:jc w:val="center"/>
              <w:rPr/>
            </w:pPr>
            <w:r>
              <w:rPr/>
              <w:t>​</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85" w:type="dxa"/>
            <w:tcBorders/>
            <w:shd w:fill="CCEEFF" w:val="clear"/>
            <w:vAlign w:val="center"/>
          </w:tcPr>
          <w:p>
            <w:pPr>
              <w:pStyle w:val="TableContents"/>
              <w:bidi w:val="0"/>
              <w:spacing w:before="0" w:after="0"/>
              <w:ind w:left="0" w:right="0" w:hanging="0"/>
              <w:jc w:val="right"/>
              <w:rPr/>
            </w:pPr>
            <w:r>
              <w:rPr/>
              <w:t>​</w:t>
            </w:r>
          </w:p>
        </w:tc>
        <w:tc>
          <w:tcPr>
            <w:tcW w:w="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c>
          <w:tcPr>
            <w:tcW w:w="353"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85" w:type="dxa"/>
            <w:tcBorders/>
            <w:vAlign w:val="center"/>
          </w:tcPr>
          <w:p>
            <w:pPr>
              <w:pStyle w:val="TableContents"/>
              <w:bidi w:val="0"/>
              <w:spacing w:before="0" w:after="0"/>
              <w:ind w:left="0" w:right="0" w:hanging="0"/>
              <w:jc w:val="righ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53" w:type="dxa"/>
            <w:tcBorders/>
            <w:vAlign w:val="center"/>
          </w:tcPr>
          <w:p>
            <w:pPr>
              <w:pStyle w:val="TableContents"/>
              <w:bidi w:val="0"/>
              <w:spacing w:before="0" w:after="0"/>
              <w:ind w:left="0" w:right="0" w:hanging="0"/>
              <w:jc w:val="righ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85" w:type="dxa"/>
            <w:tcBorders/>
            <w:shd w:fill="CCEEFF" w:val="clear"/>
            <w:vAlign w:val="center"/>
          </w:tcPr>
          <w:p>
            <w:pPr>
              <w:pStyle w:val="TableContents"/>
              <w:bidi w:val="0"/>
              <w:spacing w:before="0" w:after="0"/>
              <w:ind w:left="0" w:right="0" w:hanging="0"/>
              <w:jc w:val="righ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w:t>
            </w:r>
          </w:p>
        </w:tc>
        <w:tc>
          <w:tcPr>
            <w:tcW w:w="353" w:type="dxa"/>
            <w:tcBorders/>
            <w:shd w:fill="CCEEFF" w:val="clear"/>
            <w:vAlign w:val="center"/>
          </w:tcPr>
          <w:p>
            <w:pPr>
              <w:pStyle w:val="TableContents"/>
              <w:bidi w:val="0"/>
              <w:spacing w:before="0" w:after="0"/>
              <w:ind w:left="0" w:right="0" w:hanging="0"/>
              <w:jc w:val="righ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various agreements, the Company will be required to pay royalties and milestone payments upon the successful development and commercialization of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Agreement and Plan of Merger, dated as of July 19, 2018 by and among the Company, Agilis Biotherapeutics, Inc. (“Agilis”) and Agility Merger Sub, Inc. (such merger pursuant thereto, the “Agilis Merger”),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all of the milestones have either been paid or settled, with the exception of the regulatory milestones and net sales milestones related to FA and Angelman syndrome and the net sales milestones related to Upstaza/Kebilidi. In May 2023, as part of the Company’s strategic portfolio prioritization, the Company decided to discontinue its preclinical and early research programs in its gene therapy platform, which included FA and Angelman syndrome. As a result, the Company does not expect the milestones related to FA and Angelman syndrome to be achieved. In addition, the Company does not expect to pay the 2%–6% royalties on annual net sales related to FA and Angelman syndrome. As of June 30, 2026, the remaining potential sales milestones related to Upstaza/Kebilidi is $50.0 million, however the Company has determined that the probability of triggering these milestones is remote.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25, 2019, the Company completed the acquisition of substantially all of the assets of BioElectron Technology Corporation (“BioElectron”), a Delaware corporation, including certain compounds that the Company has begun to develop as part of its inflammation and ferroptosis platform, pursuant to an asset purchase agreement by and between the Company and BioElectron, dated October 1, 2019 (the “BioElectron Asset Purchase Agreement”). BioElectron was a private company with a pipeline focused on inflammatory CNS disorders. The lead program, vatiquinone, is in late stage development for </w:t>
      </w:r>
      <w:r>
        <w:rPr>
          <w:rFonts w:ascii="Times New Roman;Times;serif" w:hAnsi="Times New Roman;Times;serif"/>
          <w:sz w:val="20"/>
          <w:shd w:fill="FFFFFF" w:val="clear"/>
        </w:rPr>
        <w:t>FA</w:t>
      </w:r>
      <w:r>
        <w:rPr>
          <w:rFonts w:ascii="Times New Roman;Times;serif" w:hAnsi="Times New Roman;Times;serif"/>
          <w:sz w:val="20"/>
        </w:rPr>
        <w:t xml:space="preserve"> with substantial unmet need and significant commercial opportunity that are complementary to PTC’s existing pipeline.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 As of June 30, 2026, no contingent milestones have been achieved, and therefore, the remaining potential contingent milestone payments is $200.0 million.</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terms and conditions of the Agreement and Plan of Merger, dated as of May 5, 2020 (the “Censa Merger Agreement”) by and among the Company, Censa Pharmaceuticals, Inc. (“Censa”), Hydro Merger Sub, Inc., the Company’s wholly owned, indirect subsidiary, 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sepiapterin’s two most advanced programs and receipt of a priority review voucher from the FDA as set forth in the Censa Merger Agreement, (ii) $109.0 million in development and regulatory milestones for each additional indication of sepiapterin,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sepiapterin, on a country-by-country basis, which contingent payment shall equal to a mid-double digit percentage of any such sublicense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5, 2025, the Company, certain former securityholders of Censa, and, for the limited purposes set forth in the agreement, Shareholder Representative Services LLC, entered into a Rights Satisfaction Agreement (the “Rights Satisfaction Agreement”) pursuant to which such former securityholders of Censa (the “Participating Rightsholders”) agreed to the cancellation and forfeiture of their rights to receive certain contingent payments from the Company based on worldwide annual net sales by the Company of products containing sepiapterin (“Net Sales of Product”) under the Censa Merger Agreement in exchange for the consideration set forth in the Rights Satisfaction Agreement and further detailed below.</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Rights Satisfaction Agreement, the Participating Rightsholders canceled and forfeited their rights under the Censa Merger Agreement to receive a percentage of annual net sales during the applicable payment term equal to (i) 8% of annual Net Sales of Product for that portion of annual Net Sales of Product less than or equal to $250.0 million, (ii) 10% of annual Net Sales of Product for that portion of annual Net Sales of Product greater than $250.0 million but less than $500.0 million and (iii) 12% of annual Net Sales of Product for that portion of annual Net Sales of Product greater than $500.0 million (collectively, the “Net Sales Payments”).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consideration of the foregoing, the Company agreed to pay to the Participating Rightsholders an aggregate amount in cash up to $250.0 million (the “Upfront Consideration”) upon the consummation of the transactions contemplated by the Rights Satisfaction Agreement and potential milestone payments (each an “Additional Milestone Payment”) of up to $100.0 million each (or up to $500.0 million in the aggregate) based on the achievement of specified Net Sales Thresholds (as defined in the Censa Merger Agreement). The amount of the Upfront Consideration and the Additional Milestone Payments was subject to adjustment in the Rights Satisfaction Agreement based on the number of Participating Rightsholders.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the consummation of the transactions contemplated by the Rights Satisfaction Agreement, based on the participation of former Censa securityholders holding approximately 90% of Censa’s equity securities prior to the consummation of the transactions contemplated by the Censa Merger Agreement, the Company paid an aggregate amount of Upfront Consideration in cash of $225.1 million. Additionally, the Company is obligated to make Additional Milestone Payments in an amount equal to approximately $90.0 million upon achievement of each of the (i) first occurrence of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or fewer consecutive calendar year period in which aggregate Net Sales of Product are greater than $3.0 billion, (ii) first occurrence of a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or fewer consecutive calendar year period in which aggregate Net Sales of Product are greater than $5.0 billion, (iii) first occurrence of a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or fewer consecutive calendar year period in which aggregate Net Sales of Product are greater than $7.0 billion, (iv) first occurrence of a </w:t>
      </w:r>
      <w:r>
        <w:rPr>
          <w:rFonts w:ascii="Times New Roman;Times;serif" w:hAnsi="Times New Roman;Times;serif"/>
          <w:b w:val="false"/>
          <w:i w:val="false"/>
          <w:caps w:val="false"/>
          <w:smallCaps w:val="false"/>
          <w:sz w:val="20"/>
        </w:rPr>
        <w:t>nine</w:t>
      </w:r>
      <w:r>
        <w:rPr>
          <w:rFonts w:ascii="Times New Roman;Times;serif" w:hAnsi="Times New Roman;Times;serif"/>
          <w:sz w:val="20"/>
        </w:rPr>
        <w:t xml:space="preserve"> or fewer consecutive calendar year period in which aggregate Net Sales of Product are greater than $9.0 billion and (v) first occurrence of an </w:t>
      </w:r>
      <w:r>
        <w:rPr>
          <w:rFonts w:ascii="Times New Roman;Times;serif" w:hAnsi="Times New Roman;Times;serif"/>
          <w:b w:val="false"/>
          <w:i w:val="false"/>
          <w:caps w:val="false"/>
          <w:smallCaps w:val="false"/>
          <w:sz w:val="20"/>
        </w:rPr>
        <w:t>11</w:t>
      </w:r>
      <w:r>
        <w:rPr>
          <w:rFonts w:ascii="Times New Roman;Times;serif" w:hAnsi="Times New Roman;Times;serif"/>
          <w:sz w:val="20"/>
        </w:rPr>
        <w:t xml:space="preserve"> or fewer consecutive calendar year period in which aggregate Net Sales of Product are greater than $11.0 billion. If, after the consummation of the transactions contemplated by the Rights Satisfaction Agreement, any additional former securityholder of Censa executes and delivers a joinder to the Rights Satisfaction Agreement and becomes a party thereto, the Company will pay such former securityholder an amount in cash equal to such former securityholder’s applicable pro rata share of the Upfront Consideration (less any Net Sale Payments previously received) and any Additional Milestone Payments that become payable to Participating Rightsholders under the Rights Satisfaction Agreement.</w:t>
      </w:r>
    </w:p>
    <w:p>
      <w:pPr>
        <w:pStyle w:val="TextBody"/>
        <w:shd w:fill="FFFFFF" w:val="clear"/>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Rights Satisfaction Agreement has no effect on the Censa Merger Agreement other than to provide for the cancellation and forfeiture of the Participating Rightsholders’ rights to receive the Net Sales Payments described above. As a result, all other rights and obligations under the Censa Merger Agreement remain in effect pursuant to their terms, including, without limitation, the Company’s obligation to pay certain contingent payments upon the achievement of certain development and Net Sales of Product milestones.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In June 2025, Sephience was granted marketing authorization by the EC for the treatment of children and adults living with PKU. Pursuant to the Censa Merger Agreement, the acceptance triggered a $25.0 million regulatory milestone payment to the former Censa securityholders. In July 2025, Sephience was granted FDA approval for the treatment of children and adults living with PKU. Pursuant to the Censa Merger Agreement, the approval triggered a $32.5 million milestone payment to the former Censa securityholders. These milestones were recorded as intangible assets and are being amortized to cost of product sales over their expected useful lives on a straight-line basis. As of June 30, 2026, $152.5 million of the $217.5 million in </w:t>
      </w:r>
      <w:r>
        <w:rPr>
          <w:rFonts w:ascii="Times New Roman;Times;serif" w:hAnsi="Times New Roman;Times;serif"/>
          <w:sz w:val="20"/>
          <w:shd w:fill="FFFFFF" w:val="clear"/>
        </w:rPr>
        <w:t>development and regulatory milestones have been paid to the former Censa securityholders.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As of the quarter ended June 30, 2026, aggregate Sephience global net sales in the prior four consecutive quarters exceeded $250.0 million, which, pursuant to the Censa Merger Agreement, triggered a $30.0 million net sales milestone payment to the former Censa securityholders. This milestone was recorded in accounts payable and accrued expenses and intangible assets on the Company's consolidated balance sheet as of June 30, 2026 and is being amortized to cost of product sales over its expected useful live on a straight-line basis. For the six months ended June 30, 2026, royalties of $2.2 million related payable to the former Censa securityholders were recorded on the consolidated balance sheet within intangible assets, net. Refer to Note 12 for additional details.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also has the Tegsedi-Waylivra Agreement for the commercialization of Tegsedi and Waylivra, and products containing those compounds in countries in Latin America and the Caribbean. Akcea is entitled to receive royalty payments subject to certain terms set forth in the Tegsedi-Waylivra Agreement. For the six months ended June 30, 2026, royalties of $3.2 million and $2.9 million related to Tegsedi and Waylivra, respectively, were recorded on the consolidated balance sheet within intangible assets, net. Refer to Note 12 for additional details.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Sephience, and Upstaza/Kebilidi net product revenue, payable quarterly or annually in accordance with the terms of the related agreements.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its business, the Company is subject to claims, legal proceedings and disputes. The Company is not currently aware of any material legal proceedings against it.</w:t>
      </w:r>
    </w:p>
    <w:p>
      <w:pPr>
        <w:pStyle w:val="TextBody"/>
        <w:bidi w:val="0"/>
        <w:spacing w:before="0" w:after="160"/>
        <w:ind w:left="0" w:right="0" w:hanging="0"/>
        <w:jc w:val="left"/>
        <w:rPr>
          <w:rFonts w:ascii="Times New Roman;Times;serif" w:hAnsi="Times New Roman;Times;serif"/>
          <w:b/>
          <w:sz w:val="20"/>
        </w:rPr>
      </w:pPr>
      <w:bookmarkStart w:id="1805" w:name="Tc_CZYMWQkQ9EaPq_Jykub2gg_21_14"/>
      <w:bookmarkStart w:id="1806" w:name="Tc_njWCbGvIy0awiVUhLVFgRA_21_12"/>
      <w:bookmarkStart w:id="1807" w:name="Tc_yEolMR3rGkSD0vcrXJUwDg_21_10"/>
      <w:bookmarkStart w:id="1808" w:name="Tc_aS7LOtsVUkONoWVI2svIxQ_21_6"/>
      <w:bookmarkStart w:id="1809" w:name="Tc__Mxq41mDmUONf2107hYItQ_21_4"/>
      <w:bookmarkStart w:id="1810" w:name="Tc_EGq9J3_hHkC8fDM6KIPJug_21_2"/>
      <w:bookmarkStart w:id="1811" w:name="Tc_NnC0nOYQk0q-_S4mQcVHKw_21_0"/>
      <w:bookmarkStart w:id="1812" w:name="Tc_vF-2z8FjPEGc6dGy940k-g_20_11"/>
      <w:bookmarkStart w:id="1813" w:name="Tc_4u9RAtLKUEa8DqDZN_Hm6w_20_3"/>
      <w:bookmarkStart w:id="1814" w:name="Tc_ZxJlo18PP0Orz8ASOj0hog_20_0"/>
      <w:bookmarkStart w:id="1815" w:name="Tc_lbUJRy5vP0GdQOLQze5A2A_19_11"/>
      <w:bookmarkStart w:id="1816" w:name="Tc_qhHdNuud80GcyaHYWajIzA_19_0"/>
      <w:bookmarkStart w:id="1817" w:name="Tc_LIYbLgPNgUaqxHNKE1EkCg_18_13"/>
      <w:bookmarkStart w:id="1818" w:name="Tc_6XIEm9sEoESuYSSCJH0jOg_18_5"/>
      <w:bookmarkStart w:id="1819" w:name="Tc_7r_EKmKRg02pwfxZ1tK0Ew_18_0"/>
      <w:bookmarkStart w:id="1820" w:name="Tc_XDI3p1IJoUGWridYV5PYbQ_17_11"/>
      <w:bookmarkStart w:id="1821" w:name="Tc_yYo9WGVrn0yypEBxv25FFw_17_3"/>
      <w:bookmarkStart w:id="1822" w:name="Tc_JgbjNMSpSkyrqyoS00SThQ_17_0"/>
      <w:bookmarkStart w:id="1823" w:name="Tc_KS2pUggBQUiHkZlqXUOD9A_16_15"/>
      <w:bookmarkStart w:id="1824" w:name="Tc_BZD_vafRI0-M7WF4MkETjw_16_14"/>
      <w:bookmarkStart w:id="1825" w:name="Tc_ibvld0py6km0_rwTnCWQ2Q_16_13"/>
      <w:bookmarkStart w:id="1826" w:name="Tc__Uj0TNRktEmfuxsWXHVLZg_16_12"/>
      <w:bookmarkStart w:id="1827" w:name="Tc_mbhdhVGMOUueK88KQmQdrw_16_11"/>
      <w:bookmarkStart w:id="1828" w:name="Tc_vkbe-eNCmUy8kn0pOYSMXQ_16_10"/>
      <w:bookmarkStart w:id="1829" w:name="Tc_hdhOZP0NOECnAk5w2kbO4w_16_6"/>
      <w:bookmarkStart w:id="1830" w:name="Tc_gPy4_JsPD0633zwPonyqdQ_16_4"/>
      <w:bookmarkStart w:id="1831" w:name="Tc_FrlOWViul0ShKmcDOL9z5g_16_2"/>
      <w:bookmarkStart w:id="1832" w:name="Tc_TNf4fXAr5kebnC07bNHD0g_16_0"/>
      <w:bookmarkStart w:id="1833" w:name="Tc_52hoZZl5eEe4xbUZBTV5RA_15_15"/>
      <w:bookmarkStart w:id="1834" w:name="Tc_W8dhGzVKCkqLgWGQmOkoXA_15_13"/>
      <w:bookmarkStart w:id="1835" w:name="Tc_dbZDIx4KlEaofPsDJUJ-KA_15_11"/>
      <w:bookmarkStart w:id="1836" w:name="Tc_7qSrwusvSkCxEUkASqeddg_15_7"/>
      <w:bookmarkStart w:id="1837" w:name="Tc_h1WhS_z9eke5oalfgdGKYQ_15_5"/>
      <w:bookmarkStart w:id="1838" w:name="Tc_9u3svVntQ0mJcwHRDpGx3A_15_3"/>
      <w:bookmarkStart w:id="1839" w:name="Tc_Kws9TlpyiE69a3HH4EK86w_14_10"/>
      <w:bookmarkStart w:id="1840" w:name="Tc_7Lz-Heg10EaDmoMwZRcjJg_14_2"/>
      <w:bookmarkStart w:id="1841" w:name="Tc_cL6Y74ASW0W0aXL7aelNog_13_2"/>
      <w:bookmarkStart w:id="1842" w:name="Tc_Py_3j2lxwky-OCkxaov6CQ_9_14"/>
      <w:bookmarkStart w:id="1843" w:name="Tc_6YjoIxcIUE-CyD3s2k1qog_9_12"/>
      <w:bookmarkStart w:id="1844" w:name="Tc_Jrlm-yys0kSnduyTHAlt2Q_9_10"/>
      <w:bookmarkStart w:id="1845" w:name="Tc_dm9qf52CkUSX0QuoUYgOAg_9_6"/>
      <w:bookmarkStart w:id="1846" w:name="Tc_2IUiSA9Tmk2-QMvM-Qo6jg_9_4"/>
      <w:bookmarkStart w:id="1847" w:name="Tc_ZTnhNECKqUehlvR9E8rprw_9_2"/>
      <w:bookmarkStart w:id="1848" w:name="Tc_4eQA5i1HrkWc0__KGOQzeA_9_0"/>
      <w:bookmarkStart w:id="1849" w:name="Tc_L7Xu-h7A-02uJm2R8Y09xw_8_11"/>
      <w:bookmarkStart w:id="1850" w:name="Tc_cOw5yCGTnUipy5wT-teWOw_8_3"/>
      <w:bookmarkStart w:id="1851" w:name="Tc_02r8c-3m80inC7aYyJQT1g_8_0"/>
      <w:bookmarkStart w:id="1852" w:name="Tc_cs4OfIQTEkWl_Dx4EVVvqw_7_11"/>
      <w:bookmarkStart w:id="1853" w:name="Tc_mhiB8hN-KUeNDNHQ_8yOxw_7_3"/>
      <w:bookmarkStart w:id="1854" w:name="Tc_bJD4Hr675U-bGGiMLWZyTw_7_0"/>
      <w:bookmarkStart w:id="1855" w:name="Tc_0tGzK1sfRUqBwwTuItakiQ_6_13"/>
      <w:bookmarkStart w:id="1856" w:name="Tc_YAoFSVN8LkOHBy-jQd2I4w_6_5"/>
      <w:bookmarkStart w:id="1857" w:name="Tc_CHLtEYuanEiwRZ5XoepFAQ_6_0"/>
      <w:bookmarkStart w:id="1858" w:name="Tc_pagOMEhKzk-DXN1_6ZPRFQ_5_11"/>
      <w:bookmarkStart w:id="1859" w:name="Tc_HidW82bR-U-nMWyqAfR9qw_5_3"/>
      <w:bookmarkStart w:id="1860" w:name="Tc_AJEArl1i2UKZMTLfsVtsCQ_5_0"/>
      <w:bookmarkStart w:id="1861" w:name="Tc_xf24uPL_HkuS9zqjdWIvTA_4_15"/>
      <w:bookmarkStart w:id="1862" w:name="Tc_tbNghP_-ak2Y2VNeIoe6Gg_4_14"/>
      <w:bookmarkStart w:id="1863" w:name="Tc_OqBxh676gkmr9nfe80K0cw_4_13"/>
      <w:bookmarkStart w:id="1864" w:name="Tc_8KtGB9KhM0aIL-UmERBSjA_4_12"/>
      <w:bookmarkStart w:id="1865" w:name="Tc_lGFeYQO-fkuC4MFSDFJYmA_4_11"/>
      <w:bookmarkStart w:id="1866" w:name="Tc_qyfJ-2zGTkS7zsd1rC6WNg_4_10"/>
      <w:bookmarkStart w:id="1867" w:name="Tc_Vt13f4OwZkCcAGz5o6OYuA_4_6"/>
      <w:bookmarkStart w:id="1868" w:name="Tc_S_jLM1cLUEKtPViraH2wHw_4_4"/>
      <w:bookmarkStart w:id="1869" w:name="Tc_oOEQydblYUyWlF8W8vYDAA_4_2"/>
      <w:bookmarkStart w:id="1870" w:name="Tc_bRJMGJUr2UmOJmDawTpOyQ_4_0"/>
      <w:bookmarkStart w:id="1871" w:name="Tc_u7ELD0hlcEq61DGab4OFBA_3_15"/>
      <w:bookmarkStart w:id="1872" w:name="Tc_b9EKFDx7aUSIQjKlib65cQ_3_13"/>
      <w:bookmarkStart w:id="1873" w:name="Tc_bdwOk_2OC0WMVFDoTu5WRg_3_11"/>
      <w:bookmarkStart w:id="1874" w:name="Tc_cWOFf8om8kaThHz_ZgUDUA_3_7"/>
      <w:bookmarkStart w:id="1875" w:name="Tc_T2LG7hDcCEyXzDIyrR87nw_3_5"/>
      <w:bookmarkStart w:id="1876" w:name="Tc_VFEr79swzU2yVdIhvQw1HQ_3_3"/>
      <w:bookmarkStart w:id="1877" w:name="Tc_zGMc9VlxuEq7JxozSb4yBQ_3_0"/>
      <w:bookmarkStart w:id="1878" w:name="Tc_EZjQY6WWjkGb0qZqBpjVIA_2_10"/>
      <w:bookmarkStart w:id="1879" w:name="Tc_ed8OPneaFUiaW9juKALALw_2_3"/>
      <w:bookmarkStart w:id="1880" w:name="Tc_Na-dVHQYw0eADK4DfGMJyg_1_2"/>
      <w:bookmarkStart w:id="1881" w:name="_Hlk108700794"/>
      <w:bookmarkStart w:id="1882" w:name="_Hlk109250975"/>
      <w:bookmarkStart w:id="1883" w:name="_Hlk108458180"/>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r>
        <w:rPr>
          <w:rFonts w:ascii="Times New Roman;Times;serif" w:hAnsi="Times New Roman;Times;serif"/>
          <w:b/>
          <w:sz w:val="20"/>
        </w:rPr>
        <w:t>11.        Revenue recognition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views its operations and manages its business in one operating segment: life science. The life science segment is focused on the discovery, development and commercialization of the Company’s clinically differentiated medicines that provide benefits to patients with rare disorders.  The Company derives its revenues through its worldwide net product sales, collaboration and license agreements, and royalty revenues.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Net product sales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and 2025, net product revenues consisted of the following:</w:t>
      </w:r>
    </w:p>
    <w:p>
      <w:pPr>
        <w:pStyle w:val="TextBody"/>
        <w:bidi w:val="0"/>
        <w:spacing w:before="0" w:after="240"/>
        <w:ind w:left="0" w:right="0" w:hanging="0"/>
        <w:jc w:val="both"/>
        <w:rPr/>
      </w:pPr>
      <w:r>
        <w:rPr/>
        <w:t>​</w:t>
      </w:r>
    </w:p>
    <w:tbl>
      <w:tblPr>
        <w:tblW w:w="8893" w:type="dxa"/>
        <w:jc w:val="left"/>
        <w:tblInd w:w="0" w:type="dxa"/>
        <w:tblLayout w:type="fixed"/>
        <w:tblCellMar>
          <w:top w:w="0" w:type="dxa"/>
          <w:left w:w="0" w:type="dxa"/>
          <w:bottom w:w="0" w:type="dxa"/>
          <w:right w:w="0" w:type="dxa"/>
        </w:tblCellMar>
      </w:tblPr>
      <w:tblGrid>
        <w:gridCol w:w="1921"/>
        <w:gridCol w:w="109"/>
        <w:gridCol w:w="196"/>
        <w:gridCol w:w="1006"/>
        <w:gridCol w:w="196"/>
        <w:gridCol w:w="991"/>
        <w:gridCol w:w="196"/>
        <w:gridCol w:w="691"/>
        <w:gridCol w:w="109"/>
        <w:gridCol w:w="109"/>
        <w:gridCol w:w="196"/>
        <w:gridCol w:w="1006"/>
        <w:gridCol w:w="196"/>
        <w:gridCol w:w="991"/>
        <w:gridCol w:w="196"/>
        <w:gridCol w:w="784"/>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219835" cy="175260"/>
                      <wp:effectExtent l="0" t="0" r="0" b="0"/>
                      <wp:wrapNone/>
                      <wp:docPr id="439" name="Frame43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24460" cy="175260"/>
                      <wp:effectExtent l="0" t="0" r="0" b="0"/>
                      <wp:wrapNone/>
                      <wp:docPr id="441" name="Frame4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38810" cy="175260"/>
                      <wp:effectExtent l="0" t="0" r="0" b="0"/>
                      <wp:wrapNone/>
                      <wp:docPr id="442" name="Frame4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24460" cy="175260"/>
                      <wp:effectExtent l="0" t="0" r="0" b="0"/>
                      <wp:wrapNone/>
                      <wp:docPr id="443" name="Frame4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29285" cy="175260"/>
                      <wp:effectExtent l="0" t="0" r="0" b="0"/>
                      <wp:wrapNone/>
                      <wp:docPr id="444" name="Frame44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24460" cy="175260"/>
                      <wp:effectExtent l="0" t="0" r="0" b="0"/>
                      <wp:wrapNone/>
                      <wp:docPr id="445" name="Frame4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38785" cy="175260"/>
                      <wp:effectExtent l="0" t="0" r="0" b="0"/>
                      <wp:wrapNone/>
                      <wp:docPr id="446" name="Frame4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9215" cy="175260"/>
                      <wp:effectExtent l="0" t="0" r="0" b="0"/>
                      <wp:wrapNone/>
                      <wp:docPr id="448"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38810" cy="175260"/>
                      <wp:effectExtent l="0" t="0" r="0" b="0"/>
                      <wp:wrapNone/>
                      <wp:docPr id="450" name="Frame4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24460" cy="175260"/>
                      <wp:effectExtent l="0" t="0" r="0" b="0"/>
                      <wp:wrapNone/>
                      <wp:docPr id="451" name="Frame4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29285" cy="175260"/>
                      <wp:effectExtent l="0" t="0" r="0" b="0"/>
                      <wp:wrapNone/>
                      <wp:docPr id="452" name="Frame45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24460" cy="175260"/>
                      <wp:effectExtent l="0" t="0" r="0" b="0"/>
                      <wp:wrapNone/>
                      <wp:docPr id="453" name="Frame4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7840" cy="175260"/>
                      <wp:effectExtent l="0" t="0" r="0" b="0"/>
                      <wp:wrapNone/>
                      <wp:docPr id="454" name="Frame454"/>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63"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0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3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 thousands)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Sephience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127,550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23,760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151,310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Translarna</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42,217</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42,217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59,470</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Emflaza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24,634</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Upstaza/Kebilidi</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11,163</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other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9,495</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10,617</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10,617</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product revenue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152,184</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86,635</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238,819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81,976</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118,329</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6863"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3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Sephience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239,590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36,271</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275,861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Translarna</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101,193</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145,624</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145,624</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Emflaza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46,112</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46,112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Upstaza/Kebilidi</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2,998</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17,759</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20,547</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20,547</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other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20,469</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20,469</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21,442</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21,442</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product revenue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288,700</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175,692</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464,392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187,613</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271,755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884" w:name="_Hlk179536793"/>
      <w:bookmarkStart w:id="1885" w:name="_Hlk203646497"/>
      <w:bookmarkStart w:id="1886" w:name="_Hlk211262362"/>
      <w:bookmarkStart w:id="1887" w:name="Tc_iF75gzGbqU2R8UwsG29Ptg_7_12"/>
      <w:bookmarkStart w:id="1888" w:name="Tc_nbOCXoWAikGsy3-70xrC8g_7_9"/>
      <w:bookmarkStart w:id="1889" w:name="Tc_NiryGCPJ7UKeAuOt8NcHeg_7_5"/>
      <w:bookmarkStart w:id="1890" w:name="Tc_MIDuAGCUek6cpghYiZXLbQ_7_2"/>
      <w:bookmarkStart w:id="1891" w:name="Tc_mQ4kdYfhnUOYdgtGh7gDBw_7_0"/>
      <w:bookmarkStart w:id="1892" w:name="Tc_VBF131rZE0S8_PHq-nG2Ew_6_0"/>
      <w:bookmarkStart w:id="1893" w:name="Tc_RhxfuUIWO02f28-SsRhdgA_5_0"/>
      <w:bookmarkStart w:id="1894" w:name="Tc_0pjxA3v4VUusuVGtQsxIxA_4_0"/>
      <w:bookmarkStart w:id="1895" w:name="Tc_Ka4Lft5LpkmirIq9I3NI9w_3_12"/>
      <w:bookmarkStart w:id="1896" w:name="Tc_VU3TUQ1puEm99N0NEIXteQ_3_9"/>
      <w:bookmarkStart w:id="1897" w:name="Tc_GDFdQZGYmUixZcJOFBtywg_3_5"/>
      <w:bookmarkStart w:id="1898" w:name="Tc_mDzDBDgW102UkylcAZ8Fww_3_2"/>
      <w:bookmarkStart w:id="1899" w:name="Tc_x_vV_0Rr_UueiPB927XwUQ_3_0"/>
      <w:bookmarkStart w:id="1900" w:name="Tc_waZqoKnv5k-VyFIiofsb9Q_2_12"/>
      <w:bookmarkStart w:id="1901" w:name="Tc_zR6qjjHZqEGNs9480uC24Q_2_9"/>
      <w:bookmarkStart w:id="1902" w:name="Tc_g96jtyedwEaP5VRei0_p4w_2_5"/>
      <w:bookmarkStart w:id="1903" w:name="Tc_N0tGs5tsVkWKYA3Gs-JxEw_2_2"/>
      <w:bookmarkStart w:id="1904" w:name="Tc_MIH8Eh4PaUSWw8ciPaaFzw_2_0"/>
      <w:bookmarkStart w:id="1905" w:name="Tc_SAlBtJqv7kiMyikf9zt5rA_1_9"/>
      <w:bookmarkStart w:id="1906" w:name="Tc_FDz7p6cY60C2n0q6mxMXlw_1_2"/>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r>
        <w:rPr>
          <w:rFonts w:ascii="Times New Roman;Times;serif" w:hAnsi="Times New Roman;Times;serif"/>
          <w:sz w:val="20"/>
        </w:rPr>
        <w:t>Disaggregated net product revenues by country for the three and six months ended June 30, 2026 and 2025 are as follows:</w:t>
      </w:r>
    </w:p>
    <w:p>
      <w:pPr>
        <w:pStyle w:val="TextBody"/>
        <w:bidi w:val="0"/>
        <w:spacing w:before="0" w:after="0"/>
        <w:ind w:left="0" w:right="0" w:hanging="0"/>
        <w:jc w:val="left"/>
        <w:rPr/>
      </w:pPr>
      <w:r>
        <w:rPr/>
        <w:t>​</w:t>
      </w:r>
    </w:p>
    <w:tbl>
      <w:tblPr>
        <w:tblW w:w="7490" w:type="dxa"/>
        <w:jc w:val="left"/>
        <w:tblInd w:w="0" w:type="dxa"/>
        <w:tblLayout w:type="fixed"/>
        <w:tblCellMar>
          <w:top w:w="0" w:type="dxa"/>
          <w:left w:w="0" w:type="dxa"/>
          <w:bottom w:w="0" w:type="dxa"/>
          <w:right w:w="0" w:type="dxa"/>
        </w:tblCellMar>
      </w:tblPr>
      <w:tblGrid>
        <w:gridCol w:w="2221"/>
        <w:gridCol w:w="109"/>
        <w:gridCol w:w="251"/>
        <w:gridCol w:w="931"/>
        <w:gridCol w:w="129"/>
        <w:gridCol w:w="251"/>
        <w:gridCol w:w="931"/>
        <w:gridCol w:w="129"/>
        <w:gridCol w:w="109"/>
        <w:gridCol w:w="232"/>
        <w:gridCol w:w="859"/>
        <w:gridCol w:w="119"/>
        <w:gridCol w:w="232"/>
        <w:gridCol w:w="987"/>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10335" cy="175260"/>
                      <wp:effectExtent l="0" t="0" r="0" b="0"/>
                      <wp:wrapNone/>
                      <wp:docPr id="455" name="Frame45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59385" cy="175260"/>
                      <wp:effectExtent l="0" t="0" r="0" b="0"/>
                      <wp:wrapNone/>
                      <wp:docPr id="457" name="Frame45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91185" cy="175260"/>
                      <wp:effectExtent l="0" t="0" r="0" b="0"/>
                      <wp:wrapNone/>
                      <wp:docPr id="458" name="Frame4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81915" cy="175260"/>
                      <wp:effectExtent l="0" t="0" r="0" b="0"/>
                      <wp:wrapNone/>
                      <wp:docPr id="459" name="Frame459"/>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59385" cy="175260"/>
                      <wp:effectExtent l="0" t="0" r="0" b="0"/>
                      <wp:wrapNone/>
                      <wp:docPr id="460" name="Frame46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91185" cy="175260"/>
                      <wp:effectExtent l="0" t="0" r="0" b="0"/>
                      <wp:wrapNone/>
                      <wp:docPr id="461" name="Frame4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81915" cy="175260"/>
                      <wp:effectExtent l="0" t="0" r="0" b="0"/>
                      <wp:wrapNone/>
                      <wp:docPr id="462" name="Frame462"/>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47320" cy="175260"/>
                      <wp:effectExtent l="0" t="0" r="0" b="0"/>
                      <wp:wrapNone/>
                      <wp:docPr id="464" name="Frame46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45465" cy="175260"/>
                      <wp:effectExtent l="0" t="0" r="0" b="0"/>
                      <wp:wrapNone/>
                      <wp:docPr id="465" name="Frame46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75565" cy="175260"/>
                      <wp:effectExtent l="0" t="0" r="0" b="0"/>
                      <wp:wrapNone/>
                      <wp:docPr id="466" name="Frame466"/>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47320" cy="175260"/>
                      <wp:effectExtent l="0" t="0" r="0" b="0"/>
                      <wp:wrapNone/>
                      <wp:docPr id="467" name="Frame46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26745" cy="175260"/>
                      <wp:effectExtent l="0" t="0" r="0" b="0"/>
                      <wp:wrapNone/>
                      <wp:docPr id="468" name="Frame468"/>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2"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4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9" w:type="dxa"/>
            <w:tcBorders/>
            <w:vAlign w:val="center"/>
          </w:tcPr>
          <w:p>
            <w:pPr>
              <w:pStyle w:val="TableContents"/>
              <w:bidi w:val="0"/>
              <w:spacing w:before="0" w:after="1"/>
              <w:ind w:left="0" w:right="0" w:hanging="0"/>
              <w:jc w:val="left"/>
              <w:rPr/>
            </w:pPr>
            <w:r>
              <w:rPr/>
              <w:t>​</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1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152,184</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36,353</w:t>
            </w:r>
          </w:p>
        </w:tc>
        <w:tc>
          <w:tcPr>
            <w:tcW w:w="1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288,700</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84,142</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Russia</w:t>
            </w:r>
          </w:p>
        </w:tc>
        <w:tc>
          <w:tcPr>
            <w:tcW w:w="10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25,581</w:t>
            </w:r>
          </w:p>
        </w:tc>
        <w:tc>
          <w:tcPr>
            <w:tcW w:w="12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18,124</w:t>
            </w:r>
          </w:p>
        </w:tc>
        <w:tc>
          <w:tcPr>
            <w:tcW w:w="1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28,830</w:t>
            </w:r>
          </w:p>
        </w:tc>
        <w:tc>
          <w:tcPr>
            <w:tcW w:w="11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56,638</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Brazil</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8,210</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40,951</w:t>
            </w:r>
          </w:p>
        </w:tc>
        <w:tc>
          <w:tcPr>
            <w:tcW w:w="1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49,422</w:t>
            </w:r>
          </w:p>
        </w:tc>
        <w:tc>
          <w:tcPr>
            <w:tcW w:w="11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50,456</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10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52,844</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22,901</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97,440</w:t>
            </w:r>
          </w:p>
        </w:tc>
        <w:tc>
          <w:tcPr>
            <w:tcW w:w="1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80,519</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product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238,819</w:t>
            </w:r>
          </w:p>
        </w:tc>
        <w:tc>
          <w:tcPr>
            <w:tcW w:w="1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118,329</w:t>
            </w:r>
          </w:p>
        </w:tc>
        <w:tc>
          <w:tcPr>
            <w:tcW w:w="1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464,392</w:t>
            </w:r>
          </w:p>
        </w:tc>
        <w:tc>
          <w:tcPr>
            <w:tcW w:w="1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271,755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three and six months ended June 30, 2026, three of the Company’s distributors each accounted for over 10% of the Company’s net product sales. </w:t>
      </w:r>
      <w:r>
        <w:rPr>
          <w:rFonts w:ascii="Times New Roman;Times;serif" w:hAnsi="Times New Roman;Times;serif"/>
          <w:sz w:val="20"/>
          <w:shd w:fill="FFFFFF" w:val="clear"/>
        </w:rPr>
        <w:t xml:space="preserve">For three and six months ended June 30, 2025, three and two of </w:t>
      </w:r>
      <w:r>
        <w:rPr>
          <w:rFonts w:ascii="Times New Roman;Times;serif" w:hAnsi="Times New Roman;Times;serif"/>
          <w:sz w:val="20"/>
        </w:rPr>
        <w:t>the Company’s</w:t>
      </w:r>
      <w:r>
        <w:rPr>
          <w:rFonts w:ascii="Times New Roman;Times;serif" w:hAnsi="Times New Roman;Times;serif"/>
          <w:sz w:val="20"/>
          <w:shd w:fill="FFFFFF" w:val="clear"/>
        </w:rPr>
        <w:t xml:space="preserve"> distributors, respectively, each accounted for over 10% of </w:t>
      </w:r>
      <w:r>
        <w:rPr>
          <w:rFonts w:ascii="Times New Roman;Times;serif" w:hAnsi="Times New Roman;Times;serif"/>
          <w:sz w:val="20"/>
        </w:rPr>
        <w:t>the Company’s</w:t>
      </w:r>
      <w:r>
        <w:rPr>
          <w:rFonts w:ascii="Times New Roman;Times;serif" w:hAnsi="Times New Roman;Times;serif"/>
          <w:sz w:val="20"/>
          <w:shd w:fill="FFFFFF" w:val="clear"/>
        </w:rPr>
        <w:t xml:space="preserve">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does not have a contract liabilities balance related to net product sales and has not made significant changes to the judgments made in applying ASC Topic 606.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Collaboration and license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2011, the Company and the SMA Foundation entered into a licensing and collaboration agreement with Roche. Under the terms of the SMA License Agreement, Roche acquired an exclusive worldwide license to the Company’s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SMA program currently has one approved product, Evrysdi, which was approved in August 2020 by the FDA for the treatment of SMA in adults and children two months and older. As of June 30, 2026, the Company does not have any remaining research and development event milestones that can be received. The remaining potential sales milestones that can be received is $150.0 million.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and 2025, the Company did not recognize collaboration revenue related to the SMA License Agreement with Roche.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research and development and sales milestones, the Company is eligible to recognize royalties on worldwide annual net sales of a commercial product under the SMA License Agreement. For the three and six months ended June 30, 2026, the Company has recognized $71.1 million and $117.9 million of royalty revenue related to Evrysdi, respectively. </w:t>
      </w:r>
      <w:r>
        <w:rPr>
          <w:rFonts w:ascii="Times New Roman;Times;serif" w:hAnsi="Times New Roman;Times;serif"/>
          <w:sz w:val="20"/>
          <w:shd w:fill="FFFFFF" w:val="clear"/>
        </w:rPr>
        <w:t>For the three and six months ended June 30, 2025 the Company has recognized $</w:t>
      </w:r>
      <w:r>
        <w:rPr>
          <w:rFonts w:ascii="Times New Roman;Times;serif" w:hAnsi="Times New Roman;Times;serif"/>
          <w:sz w:val="20"/>
        </w:rPr>
        <w:t>57.6</w:t>
      </w:r>
      <w:r>
        <w:rPr>
          <w:rFonts w:ascii="Times New Roman;Times;serif" w:hAnsi="Times New Roman;Times;serif"/>
          <w:sz w:val="20"/>
          <w:shd w:fill="FFFFFF" w:val="clear"/>
        </w:rPr>
        <w:t> million and $</w:t>
      </w:r>
      <w:r>
        <w:rPr>
          <w:rFonts w:ascii="Times New Roman;Times;serif" w:hAnsi="Times New Roman;Times;serif"/>
          <w:sz w:val="20"/>
        </w:rPr>
        <w:t>94.0</w:t>
      </w:r>
      <w:r>
        <w:rPr>
          <w:rFonts w:ascii="Times New Roman;Times;serif" w:hAnsi="Times New Roman;Times;serif"/>
          <w:sz w:val="20"/>
          <w:shd w:fill="FFFFFF" w:val="clear"/>
        </w:rPr>
        <w:t> million of royalty revenue, respectively, related to Evrysdi.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the Company entered into the Novartis Agreement with Novartis related to the Company’s votoplam HD program. The transaction contemplated by the Novartis Agreement closed in January 2025. Under the Novartis Agreement, and upon the closing of the transaction, the Company received an upfront nonrefundable payment of $1.0 billion on the effective date and can receive up to $1.9 billion in development, regulatory and sales milestones, a 40% share of U.S. profits and losses, and tiered double-digit royalties on ex-U.S. sales.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evaluated the Novartis Agreement in order to determine the proper accounting treatment and concluded that the arrangement was not subject to ASC 730 or ASC 808, as the upfront payment was nonrefundable with no obligation for the Company to repay it and as the Company is not exposed to significant risks. The Company evaluated the arrangement under ASC 606, as a contract with a customer was determined to exist.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Novartis Agreement, the </w:t>
      </w:r>
      <w:r>
        <w:rPr>
          <w:rFonts w:ascii="Times New Roman;Times;serif" w:hAnsi="Times New Roman;Times;serif"/>
          <w:sz w:val="20"/>
          <w:shd w:fill="FFFFFF" w:val="clear"/>
        </w:rPr>
        <w:t xml:space="preserve">Company determined that there were three material and distinct performance obligations: the transfer of the licenses and know-how, the completion of the Phase 2A clinical trial, and continuing the ongoing open label extension (“OLE”) clinical trial </w:t>
      </w:r>
      <w:r>
        <w:rPr>
          <w:rFonts w:ascii="Times New Roman;Times;serif" w:hAnsi="Times New Roman;Times;serif"/>
          <w:sz w:val="20"/>
        </w:rPr>
        <w:t>pursuant to its existing development plan, with the goal of transitioning the ongoing OLE clinical trial to Novartis within 12 months after the effective date of the Novartis Agreement.</w:t>
      </w:r>
      <w:r>
        <w:rPr>
          <w:rFonts w:ascii="Times New Roman;Times;serif" w:hAnsi="Times New Roman;Times;serif"/>
          <w:sz w:val="20"/>
          <w:shd w:fill="FFFFFF" w:val="clear"/>
        </w:rPr>
        <w:t xml:space="preserve">  All such performance obligations have been completed. Novartis will be responsible for all other development of licensed compounds and licensed products and the manufacture and commercialization of licensed compounds and licensed products worldwide.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determined that the transaction included the fixed consideration of the $1.0 billion and variable consideration in the form of milestones, profit share, and royalties. Management evaluated the variable consideration under ASC 606 and determined that it would be fully constrained until the contingencies were resolved or any applicable sales occurred. Management allocated the transaction price of $1.0 billion to the performance obligations based on the guidance in ASC 606.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recognized $50.6 million and $50.7 million in collaboration and license revenues, respectively, primarily related to a development milestone pursuant to the Novartis Agreement for Novartis’s initiation of the first Phase 3 clinical trial for a Licensed Product (as defined in the Novartis Agreement), which triggered a $50.0 million milestone payment to the Company. During the three and six months ended June 30, 2025, the Company recognized $2.9 million and $992.7 million, respectively, in collaboration and license revenues related to performance obligations completed pursuant to the Novartis Agreement. </w:t>
      </w:r>
      <w:r>
        <w:rPr>
          <w:rFonts w:ascii="Times New Roman;Times;serif" w:hAnsi="Times New Roman;Times;serif"/>
          <w:sz w:val="20"/>
          <w:shd w:fill="FFFFFF" w:val="clear"/>
        </w:rPr>
        <w:t>Collaboration and license revenue during the six months ended June 30, 2025 was partially offset by $</w:t>
      </w:r>
      <w:r>
        <w:rPr>
          <w:rFonts w:ascii="Times New Roman;Times;serif" w:hAnsi="Times New Roman;Times;serif"/>
          <w:sz w:val="20"/>
        </w:rPr>
        <w:t xml:space="preserve">3.5 </w:t>
      </w:r>
      <w:r>
        <w:rPr>
          <w:rFonts w:ascii="Times New Roman;Times;serif" w:hAnsi="Times New Roman;Times;serif"/>
          <w:sz w:val="20"/>
          <w:shd w:fill="FFFFFF" w:val="clear"/>
        </w:rPr>
        <w:t>million related to a refund for a prior collaboration arrangement in relation to votoplam.</w:t>
      </w:r>
    </w:p>
    <w:p>
      <w:pPr>
        <w:pStyle w:val="TextBody"/>
        <w:bidi w:val="0"/>
        <w:spacing w:before="0" w:after="240"/>
        <w:ind w:left="0" w:right="0" w:hanging="0"/>
        <w:jc w:val="left"/>
        <w:rPr>
          <w:rFonts w:ascii="Times New Roman;Times;serif" w:hAnsi="Times New Roman;Times;serif"/>
          <w:b/>
          <w:sz w:val="20"/>
        </w:rPr>
      </w:pPr>
      <w:bookmarkStart w:id="1907" w:name="Tc_MRLtXvMe9Ui7_0WfUOyEpQ_11_11"/>
      <w:bookmarkStart w:id="1908" w:name="Tc_akIEqwbLiU60PM8fFOVZ3w_11_0"/>
      <w:bookmarkStart w:id="1909" w:name="Tc_JnP1224c8UGXeW0M8Kf2Rg_9_11"/>
      <w:bookmarkStart w:id="1910" w:name="Tc_JSl1RgR48kmbP1oJrlB5pw_9_8"/>
      <w:bookmarkStart w:id="1911" w:name="Tc_2FkRHoi_hU2LqNNBd8lYFg_9_5"/>
      <w:bookmarkStart w:id="1912" w:name="Tc_wUhyVfsk5kGWzmJb6lhIig_9_2"/>
      <w:bookmarkStart w:id="1913" w:name="Tc_Y1S9PH3B4EGiR6YrqX_5tA_9_0"/>
      <w:bookmarkStart w:id="1914" w:name="Tc_8EcOlpGNu0SF14v2bUWEXg_8_9"/>
      <w:bookmarkStart w:id="1915" w:name="Tc_85Ks3WQlfEC2MnuUXNUDcw_8_0"/>
      <w:bookmarkStart w:id="1916" w:name="Tc_gGoeiBtDcE-bc6ITmLwy9A_7_9"/>
      <w:bookmarkStart w:id="1917" w:name="Tc_GfkRbZdvv0aO2YHcCQKCVw_7_0"/>
      <w:bookmarkStart w:id="1918" w:name="Tc_UlAN7SCZe0uv9nqQ5_534w_6_9"/>
      <w:bookmarkStart w:id="1919" w:name="Tc_APgVy9j160SY7H9XmYaimw_6_0"/>
      <w:bookmarkStart w:id="1920" w:name="Tc_vcXsk14QN0i2MBX4D1yb9Q_5_0"/>
      <w:bookmarkStart w:id="1921" w:name="Tc_ME21tfm9vE2oLqHQc2zunQ_4_0"/>
      <w:bookmarkStart w:id="1922" w:name="Tc_YwX07_e_6kC6IE8BSkRYhA_3_12"/>
      <w:bookmarkStart w:id="1923" w:name="Tc_u0pirLqodE2zOX2c2dFNGw_3_9"/>
      <w:bookmarkStart w:id="1924" w:name="Tc_qepJa0eAAkOWY4RvX4l7ag_3_6"/>
      <w:bookmarkStart w:id="1925" w:name="Tc_BP3j1aE830qaRM4Nj9K_mQ_3_3"/>
      <w:bookmarkStart w:id="1926" w:name="Tc__om5cgwU3Ea4RMIEBP1Uzg_3_0"/>
      <w:bookmarkStart w:id="1927" w:name="Tc_RL2OCE-ELku2sLPvscxZaA_2_12"/>
      <w:bookmarkStart w:id="1928" w:name="Tc_8LCM2B7iBUengc3zH62M5A_2_9"/>
      <w:bookmarkStart w:id="1929" w:name="Tc_rrlafFWsQEmBLCqoHrgDKg_2_3"/>
      <w:bookmarkStart w:id="1930" w:name="Tc_Yo1quMh6mUCylOle2CWk9g_2_0"/>
      <w:bookmarkStart w:id="1931" w:name="Tc_ApRUtsFnVESJ8d0ifQvUUg_1_12"/>
      <w:bookmarkStart w:id="1932" w:name="Tc_vvFezJxGLEODrrFXqMi97g_1_9"/>
      <w:bookmarkStart w:id="1933" w:name="Tc_BjutrxODD0iC1d9EMscXxA_1_3"/>
      <w:bookmarkStart w:id="1934" w:name="_cc8492d4_5fa0_4a46_afd3_52a401b1b1f8"/>
      <w:bookmarkStart w:id="1935" w:name="Tc_yqHINcsgeUmMqVV1qYyadQ_9_11"/>
      <w:bookmarkStart w:id="1936" w:name="Tc__13pieK-NUuRrloF-ygxIQ_9_8"/>
      <w:bookmarkStart w:id="1937" w:name="Tc__eZG3ejVsEaT-PPSLsk_uQ_9_5"/>
      <w:bookmarkStart w:id="1938" w:name="Tc_qTygaipxO0a5dwa6uo3_Pg_9_2"/>
      <w:bookmarkStart w:id="1939" w:name="Tc_h_uEKoOJ7E6wK68tN4Wnng_9_0"/>
      <w:bookmarkStart w:id="1940" w:name="Tc_2PHamX_BG0aD3IiY5SoOmw_8_9"/>
      <w:bookmarkStart w:id="1941" w:name="Tc_olXriVAlyUSf-2a6ZnEOEw_8_0"/>
      <w:bookmarkStart w:id="1942" w:name="Tc_IM4MDSOsI0-DhR8HUHGA0g_7_9"/>
      <w:bookmarkStart w:id="1943" w:name="Tc_5IG3AydEW0O2AbjU9B5vQA_7_6"/>
      <w:bookmarkStart w:id="1944" w:name="Tc_azYD2uzcdkev2obQgEHKow_7_0"/>
      <w:bookmarkStart w:id="1945" w:name="Tc_AsUWbtWgVUe83l9AaRAO8w_6_9"/>
      <w:bookmarkStart w:id="1946" w:name="Tc_AikHX3XQG0aeu4e3soJOUQ_6_6"/>
      <w:bookmarkStart w:id="1947" w:name="Tc_g-bhApO90E6ETnVCVCGgVw_6_0"/>
      <w:bookmarkStart w:id="1948" w:name="Tc_yW1sc0l4Pkyr6X1RBIrrDQ_5_0"/>
      <w:bookmarkStart w:id="1949" w:name="Tc_p4D80k1L2EabYMHtGVafgQ_4_0"/>
      <w:bookmarkStart w:id="1950" w:name="Tc_5bInzm8qmEWDOZj9QBM3-g_3_12"/>
      <w:bookmarkStart w:id="1951" w:name="Tc_hve_CAOIYkSL_72n_X4PTw_3_9"/>
      <w:bookmarkStart w:id="1952" w:name="Tc_oe3UWJpPtk-nI_EXj5OJ-g_3_6"/>
      <w:bookmarkStart w:id="1953" w:name="Tc_EssrqvFlHkGr9kZkLQyy5A_3_3"/>
      <w:bookmarkStart w:id="1954" w:name="Tc_FdltewG4HEeYPKzTB4yurA_3_0"/>
      <w:bookmarkStart w:id="1955" w:name="Tc_os4z04SytkygiiQYh1AmeA_2_12"/>
      <w:bookmarkStart w:id="1956" w:name="Tc_UMNukmyUKUmtaonL6TDrgA_2_9"/>
      <w:bookmarkStart w:id="1957" w:name="Tc_thj73Cva-EWfYBTeA26Bpg_2_3"/>
      <w:bookmarkStart w:id="1958" w:name="Tc_aE4aBFWKWku_zUdPeXODfg_2_0"/>
      <w:bookmarkStart w:id="1959" w:name="Tc_gSyLnszNPkePHYbL-JleCw_1_12"/>
      <w:bookmarkStart w:id="1960" w:name="Tc_Ul46xbn3XU6rF3Xz4YLqQA_1_9"/>
      <w:bookmarkStart w:id="1961" w:name="Tc_Y2m1DQAqTkK_jtsXPQmiMA_1_3"/>
      <w:bookmarkStart w:id="1962" w:name="_65552780_8b31_44f8_ae6c_42f46a0a2fa5"/>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r>
        <w:rPr>
          <w:rFonts w:ascii="Times New Roman;Times;serif" w:hAnsi="Times New Roman;Times;serif"/>
          <w:b/>
          <w:sz w:val="20"/>
        </w:rPr>
        <w:t>12.        Intangible assets and goodwill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Definite-lived intangibles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Definite-lived intangible assets consisted of the following at June 30, 2026 and December 31, 2025:</w:t>
      </w:r>
    </w:p>
    <w:p>
      <w:pPr>
        <w:pStyle w:val="TextBody"/>
        <w:bidi w:val="0"/>
        <w:spacing w:before="0" w:after="0"/>
        <w:ind w:left="0" w:right="0" w:hanging="0"/>
        <w:jc w:val="left"/>
        <w:rPr/>
      </w:pPr>
      <w:r>
        <w:rPr/>
        <w:t>​</w:t>
      </w:r>
    </w:p>
    <w:tbl>
      <w:tblPr>
        <w:tblW w:w="9376" w:type="dxa"/>
        <w:jc w:val="left"/>
        <w:tblInd w:w="0" w:type="dxa"/>
        <w:tblLayout w:type="fixed"/>
        <w:tblCellMar>
          <w:top w:w="0" w:type="dxa"/>
          <w:left w:w="0" w:type="dxa"/>
          <w:bottom w:w="0" w:type="dxa"/>
          <w:right w:w="0" w:type="dxa"/>
        </w:tblCellMar>
      </w:tblPr>
      <w:tblGrid>
        <w:gridCol w:w="2791"/>
        <w:gridCol w:w="346"/>
        <w:gridCol w:w="211"/>
        <w:gridCol w:w="1426"/>
        <w:gridCol w:w="346"/>
        <w:gridCol w:w="211"/>
        <w:gridCol w:w="796"/>
        <w:gridCol w:w="346"/>
        <w:gridCol w:w="211"/>
        <w:gridCol w:w="901"/>
        <w:gridCol w:w="109"/>
        <w:gridCol w:w="211"/>
        <w:gridCol w:w="147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772285" cy="175260"/>
                      <wp:effectExtent l="0" t="0" r="0" b="0"/>
                      <wp:wrapNone/>
                      <wp:docPr id="469" name="Frame46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05510" cy="175260"/>
                      <wp:effectExtent l="0" t="0" r="0" b="0"/>
                      <wp:wrapNone/>
                      <wp:docPr id="472" name="Frame47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05460" cy="175260"/>
                      <wp:effectExtent l="0" t="0" r="0" b="0"/>
                      <wp:wrapNone/>
                      <wp:docPr id="475" name="Frame4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72135" cy="175260"/>
                      <wp:effectExtent l="0" t="0" r="0" b="0"/>
                      <wp:wrapNone/>
                      <wp:docPr id="478" name="Frame47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9215" cy="175260"/>
                      <wp:effectExtent l="0" t="0" r="0" b="0"/>
                      <wp:wrapNone/>
                      <wp:docPr id="479"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34085" cy="175260"/>
                      <wp:effectExtent l="0" t="0" r="0" b="0"/>
                      <wp:wrapNone/>
                      <wp:docPr id="481" name="Frame4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assets, gross</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Kebilidi</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10,731</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106,937</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Sephience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315,690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481,565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24"/>
        <w:gridCol w:w="346"/>
        <w:gridCol w:w="211"/>
        <w:gridCol w:w="1259"/>
        <w:gridCol w:w="346"/>
        <w:gridCol w:w="211"/>
        <w:gridCol w:w="1081"/>
        <w:gridCol w:w="346"/>
        <w:gridCol w:w="211"/>
        <w:gridCol w:w="901"/>
        <w:gridCol w:w="346"/>
        <w:gridCol w:w="211"/>
        <w:gridCol w:w="1312"/>
      </w:tblGrid>
      <w:tr>
        <w:trPr/>
        <w:tc>
          <w:tcPr>
            <w:tcW w:w="3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74240" cy="175260"/>
                      <wp:effectExtent l="0" t="0" r="0" b="0"/>
                      <wp:wrapNone/>
                      <wp:docPr id="482" name="Frame482"/>
                      <a:graphic xmlns:a="http://schemas.openxmlformats.org/drawingml/2006/main">
                        <a:graphicData uri="http://schemas.microsoft.com/office/word/2010/wordprocessingShape">
                          <wps:wsp>
                            <wps:cNvSpPr txBox="1"/>
                            <wps:spPr>
                              <a:xfrm>
                                <a:off x="0" y="0"/>
                                <a:ext cx="217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99465" cy="175260"/>
                      <wp:effectExtent l="0" t="0" r="0" b="0"/>
                      <wp:wrapNone/>
                      <wp:docPr id="485" name="Frame485"/>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86435" cy="175260"/>
                      <wp:effectExtent l="0" t="0" r="0" b="0"/>
                      <wp:wrapNone/>
                      <wp:docPr id="488" name="Frame4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2135" cy="175260"/>
                      <wp:effectExtent l="0" t="0" r="0" b="0"/>
                      <wp:wrapNone/>
                      <wp:docPr id="491" name="Frame49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833120" cy="175260"/>
                      <wp:effectExtent l="0" t="0" r="0" b="0"/>
                      <wp:wrapNone/>
                      <wp:docPr id="494" name="Frame494"/>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assets, accumulated amortization</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(12,413)</w:t>
            </w:r>
          </w:p>
        </w:tc>
      </w:tr>
      <w:tr>
        <w:trPr/>
        <w:tc>
          <w:tcPr>
            <w:tcW w:w="3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Kebilidi</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(35,387)</w:t>
            </w:r>
          </w:p>
        </w:tc>
      </w:tr>
      <w:tr>
        <w:trPr/>
        <w:tc>
          <w:tcPr>
            <w:tcW w:w="3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Sephience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(18,603)</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(78,639)</w:t>
            </w:r>
          </w:p>
        </w:tc>
      </w:tr>
      <w:tr>
        <w:trPr/>
        <w:tc>
          <w:tcPr>
            <w:tcW w:w="34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402,926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Akcea is entitled to receive royalty payments subject to certain terms set forth in the Tegsedi-Waylivra Agreement related to sales of Waylivra and Tegsedi. In accordance with the guidance for an asset acquisition, the Company records royalty payments when they become payable to Akcea and increase the cost basis for the Waylivra and Tegsedi intangible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963" w:name="Tc_4BQYB4rTQk6cL9asursl3w_7_2"/>
      <w:bookmarkStart w:id="1964" w:name="Tc_Up9nEPKzCEimZVGHGtgPAg_7_0"/>
      <w:bookmarkStart w:id="1965" w:name="Tc_L4v10OjRLEWe4P3BuZPVOA_6_0"/>
      <w:bookmarkStart w:id="1966" w:name="Tc_XMXBHLek30-XP6L4YAGxmA_5_0"/>
      <w:bookmarkStart w:id="1967" w:name="Tc_kkRqz4thRES_2vAkUU1bSg_4_0"/>
      <w:bookmarkStart w:id="1968" w:name="Tc_XHp5ET4uZEm528K6H8kuWA_3_0"/>
      <w:bookmarkStart w:id="1969" w:name="Tc_8R8ku8p2TU-lX-KJ1HEvlQ_2_2"/>
      <w:bookmarkStart w:id="1970" w:name="Tc_U7VQ2CGA5UGqNUAEMIVg2g_2_0"/>
      <w:bookmarkStart w:id="1971" w:name="Tc_zFUCm88Tr0u-HPpg1GFeVw_1_2"/>
      <w:bookmarkEnd w:id="1963"/>
      <w:bookmarkEnd w:id="1964"/>
      <w:bookmarkEnd w:id="1965"/>
      <w:bookmarkEnd w:id="1966"/>
      <w:bookmarkEnd w:id="1967"/>
      <w:bookmarkEnd w:id="1968"/>
      <w:bookmarkEnd w:id="1969"/>
      <w:bookmarkEnd w:id="1970"/>
      <w:bookmarkEnd w:id="1971"/>
      <w:r>
        <w:rPr>
          <w:rFonts w:ascii="Times New Roman;Times;serif" w:hAnsi="Times New Roman;Times;serif"/>
          <w:sz w:val="20"/>
        </w:rPr>
        <w:t xml:space="preserve">For the six months ended June 30, 2026, royalties of $3.2 million and $2.9 million related to Tegsedi and Waylivra, respectively, were recorded on the consolidated balance sheet within intangible assets, net. As of June 30, 2026, a royalty payable of $2.0 million and $0.4 million for Tegsedi and Waylivra, respectively, was recorded on the consolidated balance sheet within accounts payable and accrued expenses.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quarter ended June 30, 2026, aggregate Sephience global net sales in the prior four consecutive quarters exceeded $250.0 million, which, pursuant to the Censa Merger Agreement, triggered a $30.0 million net sales milestone payment to the former Censa securityholders. The $30.0 million milestone was recorded in accounts payable and accrued expenses on our consolidated balance sheet as of June 30, 2026. These milestones were recorded as intangible assets and are being amortized to cost of product sales over their expected useful lives on a straight-line basis.</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former Censa securityholders may also be entitled to receive other contingent payments subject to certain terms set forth in the Censa Merger Agreement related to sales of Sephience. In accordance with the guidance for an asset acquisition, the Company will record such payments when they become payable to the former Censa securityholders and increase the cost basis for the Sephience intangible asset. For the six months ended June 30, 2026, royalties of $2.2 million were recorded for Sephience. As of June 30, 2026, a royalty payable of $2.2 million for Sephience was recorded on the consolidated balance sheet within accounts payable and accrued expenses.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2026 and 2025, the Company recognized amortization expense of $11.8 million and $4.1 million, respectively, related to its intangible assets. For the six months ended June 30, 2026 and 2025, the Company recognized amortization expense of $23.4 million and $7.9 million, respectively, related to its intangible assets.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estimated future amortization of the Company’s intangible assets is expected to be as follows:</w:t>
      </w:r>
    </w:p>
    <w:p>
      <w:pPr>
        <w:pStyle w:val="TextBody"/>
        <w:bidi w:val="0"/>
        <w:spacing w:before="0" w:after="0"/>
        <w:ind w:left="0" w:right="0" w:hanging="0"/>
        <w:jc w:val="left"/>
        <w:rPr/>
      </w:pPr>
      <w:r>
        <w:rPr/>
        <w:t>​</w:t>
      </w:r>
    </w:p>
    <w:tbl>
      <w:tblPr>
        <w:tblW w:w="3633" w:type="dxa"/>
        <w:jc w:val="left"/>
        <w:tblInd w:w="0" w:type="dxa"/>
        <w:tblLayout w:type="fixed"/>
        <w:tblCellMar>
          <w:top w:w="0" w:type="dxa"/>
          <w:left w:w="0" w:type="dxa"/>
          <w:bottom w:w="0" w:type="dxa"/>
          <w:right w:w="0" w:type="dxa"/>
        </w:tblCellMar>
      </w:tblPr>
      <w:tblGrid>
        <w:gridCol w:w="1696"/>
        <w:gridCol w:w="346"/>
        <w:gridCol w:w="303"/>
        <w:gridCol w:w="1288"/>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76960" cy="175260"/>
                      <wp:effectExtent l="0" t="0" r="0" b="0"/>
                      <wp:wrapNone/>
                      <wp:docPr id="495" name="Frame49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92405" cy="175260"/>
                      <wp:effectExtent l="0" t="0" r="0" b="0"/>
                      <wp:wrapNone/>
                      <wp:docPr id="497" name="Frame49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817880" cy="175260"/>
                      <wp:effectExtent l="0" t="0" r="0" b="0"/>
                      <wp:wrapNone/>
                      <wp:docPr id="498" name="Frame498"/>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49,581</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43,571</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235,403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402,926</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weighted average remaining amortization period of the definite-lived intangibles as of June 30, 2026 is 10.7 years.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Agilis Merger on August 23, 2018, the Company recorded $82.3 million of goodwill. As of June 30, 2026, there have been no changes to the balance of goodwill since the date of the Agilis Merger. Accordingly, the goodwill balance as of June 30, 2026 is $82.3 million.</w:t>
      </w:r>
    </w:p>
    <w:p>
      <w:pPr>
        <w:pStyle w:val="TextBody"/>
        <w:bidi w:val="0"/>
        <w:spacing w:before="0" w:after="120"/>
        <w:ind w:left="0" w:right="0" w:hanging="0"/>
        <w:jc w:val="left"/>
        <w:rPr>
          <w:rFonts w:ascii="Times New Roman;Times;serif" w:hAnsi="Times New Roman;Times;serif"/>
          <w:b/>
          <w:sz w:val="20"/>
        </w:rPr>
      </w:pPr>
      <w:bookmarkStart w:id="1972" w:name="Tc_I0ocWORn7k6ftjOS9DqRcg_7_0"/>
      <w:bookmarkStart w:id="1973" w:name="Tc_rczopVpEZ0WCeyyaWFQQhg_6_0"/>
      <w:bookmarkStart w:id="1974" w:name="Tc_xna1MnEWA0mLVmmZ3XrSrQ_5_0"/>
      <w:bookmarkStart w:id="1975" w:name="Tc_ISt48xbI90-bsVkjUiIZuA_4_0"/>
      <w:bookmarkStart w:id="1976" w:name="Tc_IEuEfnfQwUmNbBIAgsUnmA_3_11"/>
      <w:bookmarkStart w:id="1977" w:name="Tc_7xAaCteXSUq-5YGbvGgqOw_3_8"/>
      <w:bookmarkStart w:id="1978" w:name="Tc_C6yOrQbhMk6ANYU_n9uagw_3_5"/>
      <w:bookmarkStart w:id="1979" w:name="Tc_faCInxoL8UOUJ_YysQVuHg_3_2"/>
      <w:bookmarkStart w:id="1980" w:name="Tc_SDQkuTRd9ECbgAJiEFJ6MA_3_0"/>
      <w:bookmarkStart w:id="1981" w:name="Tc_oop4rsbhx0OL_1zJRZK_Gg_2_11"/>
      <w:bookmarkStart w:id="1982" w:name="Tc_PkyBwGkI7kKFBQysxiBinw_2_8"/>
      <w:bookmarkStart w:id="1983" w:name="Tc_RsAHRVcstkO3-kZaicKOdA_2_5"/>
      <w:bookmarkStart w:id="1984" w:name="Tc_oPZu6nkXj0altWin5Kfy5A_2_2"/>
      <w:bookmarkStart w:id="1985" w:name="Tc_M5CP41ZtQECcdWzpEaWQMw_1_8"/>
      <w:bookmarkStart w:id="1986" w:name="Tc_1FtKv8YLFk-xx732r1dWsQ_1_2"/>
      <w:bookmarkStart w:id="1987" w:name="_7dacb33a_b2ff_4a06_becc_0af0659bcec0"/>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r>
        <w:rPr>
          <w:rFonts w:ascii="Times New Roman;Times;serif" w:hAnsi="Times New Roman;Times;serif"/>
          <w:b/>
          <w:sz w:val="20"/>
        </w:rPr>
        <w:t>13.        Segment information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val="false"/>
          <w:sz w:val="20"/>
        </w:rPr>
        <w:t>The Company views its operations and manages its business in one</w:t>
      </w:r>
      <w:r>
        <w:rPr>
          <w:rFonts w:ascii="Times New Roman;Times;serif" w:hAnsi="Times New Roman;Times;serif"/>
          <w:b/>
          <w:sz w:val="20"/>
        </w:rPr>
        <w:t xml:space="preserve"> </w:t>
      </w:r>
      <w:r>
        <w:rPr>
          <w:rFonts w:ascii="Times New Roman;Times;serif" w:hAnsi="Times New Roman;Times;serif"/>
          <w:b w:val="false"/>
          <w:sz w:val="20"/>
        </w:rPr>
        <w:t>operating segment: life science. The Company expects to continue to incur significant expenses as it advances product candidates through all stages of development and clinical trials and, ultimately, seek regulatory approval.</w:t>
      </w:r>
      <w:r>
        <w:rPr>
          <w:rFonts w:ascii="Times New Roman;Times;serif" w:hAnsi="Times New Roman;Times;serif"/>
          <w:b/>
          <w:sz w:val="20"/>
        </w:rPr>
        <w:t xml:space="preserve"> </w:t>
      </w:r>
      <w:r>
        <w:rPr>
          <w:rFonts w:ascii="Times New Roman;Times;serif" w:hAnsi="Times New Roman;Times;serif"/>
          <w:b w:val="false"/>
          <w:sz w:val="20"/>
        </w:rPr>
        <w:t>The table below summarizes the significant expense categories for the life science segment regularly reviewed by the chief operating decision maker for the three and six months ended June 30, 2026 and 2025:</w:t>
      </w:r>
    </w:p>
    <w:p>
      <w:pPr>
        <w:pStyle w:val="TextBody"/>
        <w:bidi w:val="0"/>
        <w:spacing w:before="0" w:after="240"/>
        <w:ind w:left="0" w:right="0" w:hanging="0"/>
        <w:jc w:val="both"/>
        <w:rPr/>
      </w:pPr>
      <w:r>
        <w:rPr/>
        <w:t>​</w:t>
      </w:r>
    </w:p>
    <w:tbl>
      <w:tblPr>
        <w:tblW w:w="9110" w:type="dxa"/>
        <w:jc w:val="left"/>
        <w:tblInd w:w="0" w:type="dxa"/>
        <w:tblLayout w:type="fixed"/>
        <w:tblCellMar>
          <w:top w:w="0" w:type="dxa"/>
          <w:left w:w="0" w:type="dxa"/>
          <w:bottom w:w="0" w:type="dxa"/>
          <w:right w:w="0" w:type="dxa"/>
        </w:tblCellMar>
      </w:tblPr>
      <w:tblGrid>
        <w:gridCol w:w="3961"/>
        <w:gridCol w:w="109"/>
        <w:gridCol w:w="258"/>
        <w:gridCol w:w="957"/>
        <w:gridCol w:w="133"/>
        <w:gridCol w:w="258"/>
        <w:gridCol w:w="957"/>
        <w:gridCol w:w="109"/>
        <w:gridCol w:w="218"/>
        <w:gridCol w:w="809"/>
        <w:gridCol w:w="112"/>
        <w:gridCol w:w="218"/>
        <w:gridCol w:w="101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515235" cy="175260"/>
                      <wp:effectExtent l="0" t="0" r="0" b="0"/>
                      <wp:wrapNone/>
                      <wp:docPr id="499" name="Frame499"/>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63830" cy="175260"/>
                      <wp:effectExtent l="0" t="0" r="0" b="0"/>
                      <wp:wrapNone/>
                      <wp:docPr id="501" name="Frame50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1"/>
              <w:ind w:left="0" w:right="0" w:hanging="0"/>
              <w:jc w:val="left"/>
              <w:rPr/>
            </w:pPr>
            <w:r>
              <w:rPr/>
              <w:t>​</w: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84455" cy="175260"/>
                      <wp:effectExtent l="0" t="0" r="0" b="0"/>
                      <wp:wrapNone/>
                      <wp:docPr id="502" name="Frame502"/>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63830" cy="175260"/>
                      <wp:effectExtent l="0" t="0" r="0" b="0"/>
                      <wp:wrapNone/>
                      <wp:docPr id="503" name="Frame50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260"/>
                      <wp:effectExtent l="0" t="0" r="0" b="0"/>
                      <wp:wrapNone/>
                      <wp:docPr id="504" name="Frame5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8430" cy="175260"/>
                      <wp:effectExtent l="0" t="0" r="0" b="0"/>
                      <wp:wrapNone/>
                      <wp:docPr id="505" name="Frame50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1120" cy="175260"/>
                      <wp:effectExtent l="0" t="0" r="0" b="0"/>
                      <wp:wrapNone/>
                      <wp:docPr id="506" name="Frame506"/>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8430" cy="175260"/>
                      <wp:effectExtent l="0" t="0" r="0" b="0"/>
                      <wp:wrapNone/>
                      <wp:docPr id="507" name="Frame50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1"/>
              <w:ind w:left="0" w:right="0" w:hanging="0"/>
              <w:jc w:val="left"/>
              <w:rPr/>
            </w:pPr>
            <w:r>
              <w:rPr/>
              <w:t>​</w:t>
            </w:r>
          </w:p>
        </w:tc>
        <w:tc>
          <w:tcPr>
            <w:tcW w:w="23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3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33"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left"/>
              <w:rPr/>
            </w:pPr>
            <w:r>
              <w:rPr/>
              <w:t>​</w:t>
            </w:r>
          </w:p>
        </w:tc>
        <w:tc>
          <w:tcPr>
            <w:tcW w:w="10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12" w:type="dxa"/>
            <w:tcBorders/>
            <w:vAlign w:val="center"/>
          </w:tcPr>
          <w:p>
            <w:pPr>
              <w:pStyle w:val="TableContents"/>
              <w:bidi w:val="0"/>
              <w:spacing w:before="0" w:after="1"/>
              <w:ind w:left="0" w:right="0" w:hanging="0"/>
              <w:jc w:val="center"/>
              <w:rPr/>
            </w:pPr>
            <w:r>
              <w:rPr/>
              <w:t>​</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360,519</w:t>
            </w:r>
          </w:p>
        </w:tc>
        <w:tc>
          <w:tcPr>
            <w:tcW w:w="133" w:type="dxa"/>
            <w:tcBorders/>
            <w:shd w:fill="CCEEFF" w:val="clear"/>
            <w:vAlign w:val="center"/>
          </w:tcPr>
          <w:p>
            <w:pPr>
              <w:pStyle w:val="TableContents"/>
              <w:bidi w:val="0"/>
              <w:spacing w:before="0" w:after="1"/>
              <w:ind w:left="0" w:right="0" w:hanging="0"/>
              <w:jc w:val="righ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178,875</w:t>
            </w:r>
          </w:p>
        </w:tc>
        <w:tc>
          <w:tcPr>
            <w:tcW w:w="109" w:type="dxa"/>
            <w:tcBorders/>
            <w:shd w:fill="CCEEFF" w:val="clear"/>
            <w:vAlign w:val="center"/>
          </w:tcPr>
          <w:p>
            <w:pPr>
              <w:pStyle w:val="TableContents"/>
              <w:bidi w:val="0"/>
              <w:spacing w:before="0" w:after="1"/>
              <w:ind w:left="0" w:right="0" w:hanging="0"/>
              <w:jc w:val="righ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633,070</w:t>
            </w:r>
          </w:p>
        </w:tc>
        <w:tc>
          <w:tcPr>
            <w:tcW w:w="112" w:type="dxa"/>
            <w:tcBorders/>
            <w:shd w:fill="CCEEFF" w:val="clear"/>
            <w:vAlign w:val="center"/>
          </w:tcPr>
          <w:p>
            <w:pPr>
              <w:pStyle w:val="TableContents"/>
              <w:bidi w:val="0"/>
              <w:spacing w:before="0" w:after="1"/>
              <w:ind w:left="0" w:right="0" w:hanging="0"/>
              <w:jc w:val="righ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1,354,971</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c>
          <w:tcPr>
            <w:tcW w:w="133" w:type="dxa"/>
            <w:tcBorders/>
            <w:vAlign w:val="center"/>
          </w:tcPr>
          <w:p>
            <w:pPr>
              <w:pStyle w:val="TableContents"/>
              <w:bidi w:val="0"/>
              <w:spacing w:before="0" w:after="1"/>
              <w:ind w:left="0" w:right="0" w:hanging="0"/>
              <w:jc w:val="right"/>
              <w:rPr/>
            </w:pPr>
            <w:r>
              <w:rPr/>
              <w:t>​</w:t>
            </w:r>
          </w:p>
        </w:tc>
        <w:tc>
          <w:tcPr>
            <w:tcW w:w="25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8"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right"/>
              <w:rPr/>
            </w:pPr>
            <w:r>
              <w:rPr/>
              <w:t>​</w:t>
            </w:r>
          </w:p>
        </w:tc>
        <w:tc>
          <w:tcPr>
            <w:tcW w:w="218"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collaboration and license sales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10,933</w:t>
            </w:r>
          </w:p>
        </w:tc>
        <w:tc>
          <w:tcPr>
            <w:tcW w:w="133" w:type="dxa"/>
            <w:tcBorders/>
            <w:shd w:fill="CCEEFF" w:val="clear"/>
            <w:vAlign w:val="center"/>
          </w:tcPr>
          <w:p>
            <w:pPr>
              <w:pStyle w:val="TableContents"/>
              <w:bidi w:val="0"/>
              <w:spacing w:before="0" w:after="1"/>
              <w:ind w:left="0" w:right="0" w:hanging="0"/>
              <w:jc w:val="righ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8,093</w:t>
            </w:r>
          </w:p>
        </w:tc>
        <w:tc>
          <w:tcPr>
            <w:tcW w:w="109" w:type="dxa"/>
            <w:tcBorders/>
            <w:shd w:fill="CCEEFF" w:val="clear"/>
            <w:vAlign w:val="center"/>
          </w:tcPr>
          <w:p>
            <w:pPr>
              <w:pStyle w:val="TableContents"/>
              <w:bidi w:val="0"/>
              <w:spacing w:before="0" w:after="1"/>
              <w:ind w:left="0" w:right="0" w:hanging="0"/>
              <w:jc w:val="righ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30,611</w:t>
            </w:r>
          </w:p>
        </w:tc>
        <w:tc>
          <w:tcPr>
            <w:tcW w:w="112" w:type="dxa"/>
            <w:tcBorders/>
            <w:shd w:fill="CCEEFF" w:val="clear"/>
            <w:vAlign w:val="center"/>
          </w:tcPr>
          <w:p>
            <w:pPr>
              <w:pStyle w:val="TableContents"/>
              <w:bidi w:val="0"/>
              <w:spacing w:before="0" w:after="1"/>
              <w:ind w:left="0" w:right="0" w:hanging="0"/>
              <w:jc w:val="righ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Program spend</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42,580</w:t>
            </w:r>
          </w:p>
        </w:tc>
        <w:tc>
          <w:tcPr>
            <w:tcW w:w="133"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49,705</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80,125</w:t>
            </w:r>
          </w:p>
        </w:tc>
        <w:tc>
          <w:tcPr>
            <w:tcW w:w="112"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97,863</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68,348</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65,593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144,469</w:t>
            </w:r>
          </w:p>
        </w:tc>
        <w:tc>
          <w:tcPr>
            <w:tcW w:w="112"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133,292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988" w:name="Tc_pQJcYylnSUe1d6nrS77htg_9_11"/>
      <w:bookmarkStart w:id="1989" w:name="Tc_PwawQRkY_0-bFb0iYThC5g_9_8"/>
      <w:bookmarkStart w:id="1990" w:name="Tc_tE7kHyZR606jz1PGkxYqsw_9_5"/>
      <w:bookmarkStart w:id="1991" w:name="Tc_OUOU-Mkb2UidWxzCVy2a6Q_9_2"/>
      <w:bookmarkStart w:id="1992" w:name="Tc_Ep5DBWyZrkKqwRTVhsC22Q_9_0"/>
      <w:bookmarkStart w:id="1993" w:name="Tc_p7ASmHZAMUeyQsdX8jl3PA_8_0"/>
      <w:bookmarkStart w:id="1994" w:name="Tc_W0Ebn4F0IU2HHp4XnGKnNA_7_0"/>
      <w:bookmarkStart w:id="1995" w:name="Tc_wq_wcZcd8kqQO-5ekxJZhQ_6_0"/>
      <w:bookmarkStart w:id="1996" w:name="Tc_kGP_4TBovUqdhggPRp4OQg_5_0"/>
      <w:bookmarkStart w:id="1997" w:name="Tc_LBWKxc2DK0C9dI43Hsh0VQ_4_0"/>
      <w:bookmarkStart w:id="1998" w:name="Tc_atUu0unSN0q2p7JmUMVn7g_3_11"/>
      <w:bookmarkStart w:id="1999" w:name="Tc_ScFasIxybEqfahmny-IlUA_3_8"/>
      <w:bookmarkStart w:id="2000" w:name="Tc_XtEfWJ_SWUCoyap60YZPKA_3_5"/>
      <w:bookmarkStart w:id="2001" w:name="Tc_EuDoX3sArUuKPTpj4ne3Pg_3_2"/>
      <w:bookmarkStart w:id="2002" w:name="Tc_CtePn5N410yC75_41pt_KA_3_0"/>
      <w:bookmarkStart w:id="2003" w:name="Tc_LhWdn4vzPkOoIZTDQt9qTQ_2_12"/>
      <w:bookmarkStart w:id="2004" w:name="Tc_-_FK85dwXU6_dA339Th1nw_2_9"/>
      <w:bookmarkStart w:id="2005" w:name="Tc_wKTZqpaZK02s8CfaF6kjxQ_2_6"/>
      <w:bookmarkStart w:id="2006" w:name="Tc_DvDKoOyIXkSOHn7hrX1rrA_2_3"/>
      <w:bookmarkStart w:id="2007" w:name="Tc_Te-LYSzUDk6T4c6pmCEy7Q_1_9"/>
      <w:bookmarkStart w:id="2008" w:name="Tc_VOhH3N7pRkywmvYCs3FFaQ_1_3"/>
      <w:bookmarkStart w:id="2009" w:name="_1dc90e74_454a_4e4f_af6b_8d7d187c87a5"/>
      <w:bookmarkStart w:id="2010" w:name="Tc_q42qqT0NikWdiKpoJ5TSag_15_11"/>
      <w:bookmarkStart w:id="2011" w:name="Tc_AUY3JwOkB0yDeUtxK8OdcQ_15_8"/>
      <w:bookmarkStart w:id="2012" w:name="Tc_t6K5PNUN0Eq-IW7hn9UF6Q_15_5"/>
      <w:bookmarkStart w:id="2013" w:name="Tc_fig9Pf-zjkeMCXNS4Igj5g_15_2"/>
      <w:bookmarkStart w:id="2014" w:name="Tc_xhtqXgpJXUO33wBcyQx8JA_15_0"/>
      <w:bookmarkStart w:id="2015" w:name="Tc_8ktQDg0I90uvxvJ5rJID8A_14_12"/>
      <w:bookmarkStart w:id="2016" w:name="Tc_GkpuW6Okm0medwdR2wA3pA_14_9"/>
      <w:bookmarkStart w:id="2017" w:name="Tc_LDXX9v5fyECKxsgirRro2w_14_6"/>
      <w:bookmarkStart w:id="2018" w:name="Tc_ORbzm0KVqUiCmbVdiq7KxA_14_3"/>
      <w:bookmarkStart w:id="2019" w:name="Tc_Z_t64fMQq0es0bS0K4TwCQ_14_0"/>
      <w:bookmarkStart w:id="2020" w:name="Tc_SD-gYH90uE6y2GzEMTGSTw_13_0"/>
      <w:bookmarkStart w:id="2021" w:name="Tc_m7I0gQZonEiSEBD7SFZPBw_12_11"/>
      <w:bookmarkStart w:id="2022" w:name="Tc_MPN6FMmI_UeEwhzEvA8y_Q_12_8"/>
      <w:bookmarkStart w:id="2023" w:name="Tc_nqTKE8ALXUGaoQHW0Kfbig_12_5"/>
      <w:bookmarkStart w:id="2024" w:name="Tc_NNSNkHmloE6rNWClHp2Gaw_12_2"/>
      <w:bookmarkStart w:id="2025" w:name="Tc_gIPUpRHbo0KuFzU3fLi-SQ_12_0"/>
      <w:bookmarkStart w:id="2026" w:name="Tc_ecZy67wRiUWrOOkyOrx4vA_11_0"/>
      <w:bookmarkStart w:id="2027" w:name="Tc_lOZFCmoHdUG78dteO2IjNg_10_0"/>
      <w:bookmarkStart w:id="2028" w:name="Tc_tM3igtQHqk2BTR-oolBBcQ_9_0"/>
      <w:bookmarkStart w:id="2029" w:name="Tc_q0hYV7GXrE-18u7Pb6ts4Q_8_0"/>
      <w:bookmarkStart w:id="2030" w:name="Tc_pQJcYylnSUe1d6nrS77htg_9_11"/>
      <w:bookmarkStart w:id="2031" w:name="Tc_PwawQRkY_0-bFb0iYThC5g_9_8"/>
      <w:bookmarkStart w:id="2032" w:name="Tc_tE7kHyZR606jz1PGkxYqsw_9_5"/>
      <w:bookmarkStart w:id="2033" w:name="Tc_OUOU-Mkb2UidWxzCVy2a6Q_9_2"/>
      <w:bookmarkStart w:id="2034" w:name="Tc_Ep5DBWyZrkKqwRTVhsC22Q_9_0"/>
      <w:bookmarkStart w:id="2035" w:name="Tc_p7ASmHZAMUeyQsdX8jl3PA_8_0"/>
      <w:bookmarkStart w:id="2036" w:name="Tc_W0Ebn4F0IU2HHp4XnGKnNA_7_0"/>
      <w:bookmarkStart w:id="2037" w:name="Tc_wq_wcZcd8kqQO-5ekxJZhQ_6_0"/>
      <w:bookmarkStart w:id="2038" w:name="Tc_kGP_4TBovUqdhggPRp4OQg_5_0"/>
      <w:bookmarkStart w:id="2039" w:name="Tc_LBWKxc2DK0C9dI43Hsh0VQ_4_0"/>
      <w:bookmarkStart w:id="2040" w:name="Tc_atUu0unSN0q2p7JmUMVn7g_3_11"/>
      <w:bookmarkStart w:id="2041" w:name="Tc_ScFasIxybEqfahmny-IlUA_3_8"/>
      <w:bookmarkStart w:id="2042" w:name="Tc_XtEfWJ_SWUCoyap60YZPKA_3_5"/>
      <w:bookmarkStart w:id="2043" w:name="Tc_EuDoX3sArUuKPTpj4ne3Pg_3_2"/>
      <w:bookmarkStart w:id="2044" w:name="Tc_CtePn5N410yC75_41pt_KA_3_0"/>
      <w:bookmarkStart w:id="2045" w:name="Tc_LhWdn4vzPkOoIZTDQt9qTQ_2_12"/>
      <w:bookmarkStart w:id="2046" w:name="Tc_-_FK85dwXU6_dA339Th1nw_2_9"/>
      <w:bookmarkStart w:id="2047" w:name="Tc_wKTZqpaZK02s8CfaF6kjxQ_2_6"/>
      <w:bookmarkStart w:id="2048" w:name="Tc_DvDKoOyIXkSOHn7hrX1rrA_2_3"/>
      <w:bookmarkStart w:id="2049" w:name="Tc_Te-LYSzUDk6T4c6pmCEy7Q_1_9"/>
      <w:bookmarkStart w:id="2050" w:name="Tc_VOhH3N7pRkywmvYCs3FFaQ_1_3"/>
      <w:bookmarkStart w:id="2051" w:name="_1dc90e74_454a_4e4f_af6b_8d7d187c87a5"/>
      <w:bookmarkStart w:id="2052" w:name="Tc_q42qqT0NikWdiKpoJ5TSag_15_11"/>
      <w:bookmarkStart w:id="2053" w:name="Tc_AUY3JwOkB0yDeUtxK8OdcQ_15_8"/>
      <w:bookmarkStart w:id="2054" w:name="Tc_t6K5PNUN0Eq-IW7hn9UF6Q_15_5"/>
      <w:bookmarkStart w:id="2055" w:name="Tc_fig9Pf-zjkeMCXNS4Igj5g_15_2"/>
      <w:bookmarkStart w:id="2056" w:name="Tc_xhtqXgpJXUO33wBcyQx8JA_15_0"/>
      <w:bookmarkStart w:id="2057" w:name="Tc_8ktQDg0I90uvxvJ5rJID8A_14_12"/>
      <w:bookmarkStart w:id="2058" w:name="Tc_GkpuW6Okm0medwdR2wA3pA_14_9"/>
      <w:bookmarkStart w:id="2059" w:name="Tc_LDXX9v5fyECKxsgirRro2w_14_6"/>
      <w:bookmarkStart w:id="2060" w:name="Tc_ORbzm0KVqUiCmbVdiq7KxA_14_3"/>
      <w:bookmarkStart w:id="2061" w:name="Tc_Z_t64fMQq0es0bS0K4TwCQ_14_0"/>
      <w:bookmarkStart w:id="2062" w:name="Tc_SD-gYH90uE6y2GzEMTGSTw_13_0"/>
      <w:bookmarkStart w:id="2063" w:name="Tc_m7I0gQZonEiSEBD7SFZPBw_12_11"/>
      <w:bookmarkStart w:id="2064" w:name="Tc_MPN6FMmI_UeEwhzEvA8y_Q_12_8"/>
      <w:bookmarkStart w:id="2065" w:name="Tc_nqTKE8ALXUGaoQHW0Kfbig_12_5"/>
      <w:bookmarkStart w:id="2066" w:name="Tc_NNSNkHmloE6rNWClHp2Gaw_12_2"/>
      <w:bookmarkStart w:id="2067" w:name="Tc_gIPUpRHbo0KuFzU3fLi-SQ_12_0"/>
      <w:bookmarkStart w:id="2068" w:name="Tc_ecZy67wRiUWrOOkyOrx4vA_11_0"/>
      <w:bookmarkStart w:id="2069" w:name="Tc_lOZFCmoHdUG78dteO2IjNg_10_0"/>
      <w:bookmarkStart w:id="2070" w:name="Tc_tM3igtQHqk2BTR-oolBBcQ_9_0"/>
      <w:bookmarkStart w:id="2071" w:name="Tc_q0hYV7GXrE-18u7Pb6ts4Q_8_0"/>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p>
    <w:tbl>
      <w:tblPr>
        <w:tblW w:w="7477" w:type="dxa"/>
        <w:jc w:val="left"/>
        <w:tblInd w:w="0" w:type="dxa"/>
        <w:tblLayout w:type="fixed"/>
        <w:tblCellMar>
          <w:top w:w="0" w:type="dxa"/>
          <w:left w:w="0" w:type="dxa"/>
          <w:bottom w:w="0" w:type="dxa"/>
          <w:right w:w="0" w:type="dxa"/>
        </w:tblCellMar>
      </w:tblPr>
      <w:tblGrid>
        <w:gridCol w:w="2941"/>
        <w:gridCol w:w="109"/>
        <w:gridCol w:w="211"/>
        <w:gridCol w:w="781"/>
        <w:gridCol w:w="109"/>
        <w:gridCol w:w="211"/>
        <w:gridCol w:w="796"/>
        <w:gridCol w:w="109"/>
        <w:gridCol w:w="211"/>
        <w:gridCol w:w="781"/>
        <w:gridCol w:w="109"/>
        <w:gridCol w:w="211"/>
        <w:gridCol w:w="898"/>
      </w:tblGrid>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34,470</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Administrative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36,310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 (a)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221,698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income (loss)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80,687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801,713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profit or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and reconciling items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801,713</w:t>
            </w:r>
          </w:p>
        </w:tc>
      </w:tr>
    </w:tbl>
    <w:p>
      <w:pPr>
        <w:pStyle w:val="TextBody"/>
        <w:bidi w:val="0"/>
        <w:spacing w:before="0" w:after="240"/>
        <w:ind w:left="0" w:right="0" w:hanging="0"/>
        <w:jc w:val="both"/>
        <w:rPr/>
      </w:pPr>
      <w:r>
        <w:rPr/>
        <w:t>​</w:t>
      </w:r>
    </w:p>
    <w:tbl>
      <w:tblPr>
        <w:tblW w:w="4112" w:type="dxa"/>
        <w:jc w:val="left"/>
        <w:tblInd w:w="0" w:type="dxa"/>
        <w:tblLayout w:type="fixed"/>
        <w:tblCellMar>
          <w:top w:w="0" w:type="dxa"/>
          <w:left w:w="0" w:type="dxa"/>
          <w:bottom w:w="0" w:type="dxa"/>
          <w:right w:w="0" w:type="dxa"/>
        </w:tblCellMar>
      </w:tblPr>
      <w:tblGrid>
        <w:gridCol w:w="331"/>
        <w:gridCol w:w="378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includes the following: </w:t>
            </w:r>
          </w:p>
        </w:tc>
      </w:tr>
    </w:tbl>
    <w:tbl>
      <w:tblPr>
        <w:tblW w:w="7389" w:type="dxa"/>
        <w:jc w:val="left"/>
        <w:tblInd w:w="0" w:type="dxa"/>
        <w:tblLayout w:type="fixed"/>
        <w:tblCellMar>
          <w:top w:w="0" w:type="dxa"/>
          <w:left w:w="0" w:type="dxa"/>
          <w:bottom w:w="0" w:type="dxa"/>
          <w:right w:w="0" w:type="dxa"/>
        </w:tblCellMar>
      </w:tblPr>
      <w:tblGrid>
        <w:gridCol w:w="2461"/>
        <w:gridCol w:w="109"/>
        <w:gridCol w:w="211"/>
        <w:gridCol w:w="924"/>
        <w:gridCol w:w="126"/>
        <w:gridCol w:w="245"/>
        <w:gridCol w:w="924"/>
        <w:gridCol w:w="109"/>
        <w:gridCol w:w="211"/>
        <w:gridCol w:w="818"/>
        <w:gridCol w:w="112"/>
        <w:gridCol w:w="216"/>
        <w:gridCol w:w="923"/>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562735" cy="175260"/>
                      <wp:effectExtent l="0" t="0" r="0" b="0"/>
                      <wp:wrapNone/>
                      <wp:docPr id="508" name="Frame508"/>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1"/>
              <w:ind w:left="0" w:right="0" w:hanging="0"/>
              <w:jc w:val="left"/>
              <w:rPr/>
            </w:pPr>
            <w:r>
              <w:rPr/>
              <w:t>​</w: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80010" cy="175260"/>
                      <wp:effectExtent l="0" t="0" r="0" b="0"/>
                      <wp:wrapNone/>
                      <wp:docPr id="511" name="Frame511"/>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5575" cy="175260"/>
                      <wp:effectExtent l="0" t="0" r="0" b="0"/>
                      <wp:wrapNone/>
                      <wp:docPr id="512" name="Frame51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13"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71120" cy="175260"/>
                      <wp:effectExtent l="0" t="0" r="0" b="0"/>
                      <wp:wrapNone/>
                      <wp:docPr id="515" name="Frame515"/>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7160" cy="175260"/>
                      <wp:effectExtent l="0" t="0" r="0" b="0"/>
                      <wp:wrapNone/>
                      <wp:docPr id="516" name="Frame51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1"/>
              <w:ind w:left="0" w:right="0" w:hanging="0"/>
              <w:jc w:val="left"/>
              <w:rPr/>
            </w:pPr>
            <w:r>
              <w:rPr/>
              <w:t>​</w:t>
            </w:r>
          </w:p>
        </w:tc>
      </w:tr>
      <w:tr>
        <w:trPr/>
        <w:tc>
          <w:tcPr>
            <w:tcW w:w="24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24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(18,119)</w:t>
            </w:r>
          </w:p>
        </w:tc>
        <w:tc>
          <w:tcPr>
            <w:tcW w:w="12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(36,104)</w:t>
            </w:r>
          </w:p>
        </w:tc>
        <w:tc>
          <w:tcPr>
            <w:tcW w:w="112"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(38,236)</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66,600</w:t>
            </w:r>
          </w:p>
        </w:tc>
        <w:tc>
          <w:tcPr>
            <w:tcW w:w="126" w:type="dxa"/>
            <w:tcBorders/>
            <w:vAlign w:val="center"/>
          </w:tcPr>
          <w:p>
            <w:pPr>
              <w:pStyle w:val="TableContents"/>
              <w:bidi w:val="0"/>
              <w:spacing w:before="0" w:after="1"/>
              <w:ind w:left="0" w:right="0" w:hanging="0"/>
              <w:jc w:val="right"/>
              <w:rPr/>
            </w:pPr>
            <w:r>
              <w:rPr/>
              <w:t>​</w:t>
            </w:r>
          </w:p>
        </w:tc>
        <w:tc>
          <w:tcPr>
            <w:tcW w:w="245" w:type="dxa"/>
            <w:tcBorders/>
            <w:vAlign w:val="center"/>
          </w:tcPr>
          <w:p>
            <w:pPr>
              <w:pStyle w:val="TableContents"/>
              <w:bidi w:val="0"/>
              <w:spacing w:before="0" w:after="1"/>
              <w:ind w:left="0" w:right="0" w:hanging="0"/>
              <w:jc w:val="righ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133,615</w:t>
            </w:r>
          </w:p>
        </w:tc>
        <w:tc>
          <w:tcPr>
            <w:tcW w:w="112"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righ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102,686</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14,049</w:t>
            </w:r>
          </w:p>
        </w:tc>
        <w:tc>
          <w:tcPr>
            <w:tcW w:w="12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righ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14,396</w:t>
            </w:r>
          </w:p>
        </w:tc>
        <w:tc>
          <w:tcPr>
            <w:tcW w:w="112"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righ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57,063</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4,009</w:t>
            </w:r>
          </w:p>
        </w:tc>
        <w:tc>
          <w:tcPr>
            <w:tcW w:w="126" w:type="dxa"/>
            <w:tcBorders/>
            <w:vAlign w:val="center"/>
          </w:tcPr>
          <w:p>
            <w:pPr>
              <w:pStyle w:val="TableContents"/>
              <w:bidi w:val="0"/>
              <w:spacing w:before="0" w:after="1"/>
              <w:ind w:left="0" w:right="0" w:hanging="0"/>
              <w:jc w:val="right"/>
              <w:rPr/>
            </w:pPr>
            <w:r>
              <w:rPr/>
              <w:t>​</w:t>
            </w:r>
          </w:p>
        </w:tc>
        <w:tc>
          <w:tcPr>
            <w:tcW w:w="245" w:type="dxa"/>
            <w:tcBorders/>
            <w:vAlign w:val="center"/>
          </w:tcPr>
          <w:p>
            <w:pPr>
              <w:pStyle w:val="TableContents"/>
              <w:bidi w:val="0"/>
              <w:spacing w:before="0" w:after="1"/>
              <w:ind w:left="0" w:right="0" w:hanging="0"/>
              <w:jc w:val="righ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w:t>
            </w:r>
          </w:p>
        </w:tc>
        <w:tc>
          <w:tcPr>
            <w:tcW w:w="112" w:type="dxa"/>
            <w:tcBorders/>
            <w:vAlign w:val="center"/>
          </w:tcPr>
          <w:p>
            <w:pPr>
              <w:pStyle w:val="TableContents"/>
              <w:bidi w:val="0"/>
              <w:spacing w:before="0" w:after="1"/>
              <w:ind w:left="0" w:right="0" w:hanging="0"/>
              <w:jc w:val="right"/>
              <w:rPr/>
            </w:pPr>
            <w:r>
              <w:rPr/>
              <w:t>​</w:t>
            </w:r>
          </w:p>
        </w:tc>
        <w:tc>
          <w:tcPr>
            <w:tcW w:w="216" w:type="dxa"/>
            <w:tcBorders/>
            <w:vAlign w:val="center"/>
          </w:tcPr>
          <w:p>
            <w:pPr>
              <w:pStyle w:val="TableContents"/>
              <w:bidi w:val="0"/>
              <w:spacing w:before="0" w:after="1"/>
              <w:ind w:left="0" w:right="0" w:hanging="0"/>
              <w:jc w:val="righ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7,031</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11,841</w:t>
            </w:r>
          </w:p>
        </w:tc>
        <w:tc>
          <w:tcPr>
            <w:tcW w:w="12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righ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23,422</w:t>
            </w:r>
          </w:p>
        </w:tc>
        <w:tc>
          <w:tcPr>
            <w:tcW w:w="112" w:type="dxa"/>
            <w:tcBorders/>
            <w:shd w:fill="CCEEFF" w:val="clear"/>
            <w:vAlign w:val="center"/>
          </w:tcPr>
          <w:p>
            <w:pPr>
              <w:pStyle w:val="TableContents"/>
              <w:bidi w:val="0"/>
              <w:spacing w:before="0" w:after="1"/>
              <w:ind w:left="0" w:right="0" w:hanging="0"/>
              <w:jc w:val="right"/>
              <w:rPr/>
            </w:pPr>
            <w:r>
              <w:rPr/>
              <w:t>​</w:t>
            </w:r>
          </w:p>
        </w:tc>
        <w:tc>
          <w:tcPr>
            <w:tcW w:w="216" w:type="dxa"/>
            <w:tcBorders/>
            <w:shd w:fill="CCEEFF" w:val="clear"/>
            <w:vAlign w:val="center"/>
          </w:tcPr>
          <w:p>
            <w:pPr>
              <w:pStyle w:val="TableContents"/>
              <w:bidi w:val="0"/>
              <w:spacing w:before="0" w:after="1"/>
              <w:ind w:left="0" w:right="0" w:hanging="0"/>
              <w:jc w:val="righ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7,859</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(b)</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46,510</w:t>
            </w:r>
          </w:p>
        </w:tc>
        <w:tc>
          <w:tcPr>
            <w:tcW w:w="126" w:type="dxa"/>
            <w:tcBorders/>
            <w:vAlign w:val="center"/>
          </w:tcPr>
          <w:p>
            <w:pPr>
              <w:pStyle w:val="TableContents"/>
              <w:bidi w:val="0"/>
              <w:spacing w:before="0" w:after="1"/>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89,633</w:t>
            </w:r>
          </w:p>
        </w:tc>
        <w:tc>
          <w:tcPr>
            <w:tcW w:w="112" w:type="dxa"/>
            <w:tcBorders/>
            <w:vAlign w:val="center"/>
          </w:tcPr>
          <w:p>
            <w:pPr>
              <w:pStyle w:val="TableContents"/>
              <w:bidi w:val="0"/>
              <w:spacing w:before="0" w:after="1"/>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85,295</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other segment items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124,890</w:t>
            </w:r>
          </w:p>
        </w:tc>
        <w:tc>
          <w:tcPr>
            <w:tcW w:w="126" w:type="dxa"/>
            <w:tcBorders/>
            <w:shd w:fill="CCEEFF" w:val="clear"/>
            <w:vAlign w:val="center"/>
          </w:tcPr>
          <w:p>
            <w:pPr>
              <w:pStyle w:val="TableContents"/>
              <w:bidi w:val="0"/>
              <w:spacing w:before="0" w:after="1"/>
              <w:ind w:left="0" w:right="0" w:hanging="0"/>
              <w:jc w:val="righ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232,777</w:t>
            </w:r>
          </w:p>
        </w:tc>
        <w:tc>
          <w:tcPr>
            <w:tcW w:w="112" w:type="dxa"/>
            <w:tcBorders/>
            <w:shd w:fill="CCEEFF" w:val="clear"/>
            <w:vAlign w:val="center"/>
          </w:tcPr>
          <w:p>
            <w:pPr>
              <w:pStyle w:val="TableContents"/>
              <w:bidi w:val="0"/>
              <w:spacing w:before="0" w:after="1"/>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221,698</w:t>
            </w:r>
          </w:p>
        </w:tc>
      </w:tr>
    </w:tbl>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includes cost of goods sold, royalty, travel and entertainment, distribution costs, bad debt expense, finance costs, contract labor costs, stock compensation expense, change in the fair value of contingent consideration, and other expense.</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evaluated subsequent events and transactions through the filing date. There were no material events that impacted the consolidated financial statements or disclosures.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72" w:name="Item2ManagementsDiscussionandAnalysisofF"/>
      <w:bookmarkStart w:id="2073" w:name="_441e2165_3dd8_49b0_91e7_25268a7911b0"/>
      <w:bookmarkEnd w:id="2072"/>
      <w:bookmarkEnd w:id="207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2025 included in our Annual Report on Form 10-K filed with the Securities and Exchange Commission on February 19, 2026, or our 2025 Annual Report. This discussion contains forward-looking statements that involve significant risks and uncertainties. As a result of many factors, such as those set forth in Part I, Item 1A. (Risk Factors) of our 2025 Annual Report, our actual results may differ materially from those anticipated in these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global biopharmaceutical company dedicated to the discovery, development and commercialization of clinically differentiated medicines for children and adults living with rare disorders. We are advancing a robust and diversified pipeline of transformative medicines as part of our mission to provide access to best-in-class treatments for patients with unmet medical needs. Our strategy is to leverage our scientific expertise and global commercial infrastructure to optimize value for our patients and other stakeholders. </w:t>
      </w:r>
      <w:r>
        <w:rPr>
          <w:rFonts w:ascii="Times New Roman;Times;serif" w:hAnsi="Times New Roman;Times;serif"/>
          <w:sz w:val="20"/>
          <w:shd w:fill="FFFFFF" w:val="clear"/>
        </w:rPr>
        <w:t xml:space="preserve">We believe that this allows us to maximize value for all of our stakeholders. </w:t>
      </w:r>
      <w:r>
        <w:rPr>
          <w:rFonts w:ascii="Times New Roman;Times;serif" w:hAnsi="Times New Roman;Times;serif"/>
          <w:sz w:val="20"/>
        </w:rPr>
        <w:t>We have a diversified therapeutic portfolio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Updates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Commercial Footprint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Sephience™ (sepiapterin)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Sephience (sepiapterin) is a product for the treatment of phenylketonuria, or PKU, a rare inherited metabolic disease characterized by the body’s inability to break down an essential amino acid called phenylalanine, and which can result in neurological and other symptoms. </w:t>
      </w:r>
      <w:r>
        <w:rPr>
          <w:rFonts w:ascii="Times New Roman;Times;serif" w:hAnsi="Times New Roman;Times;serif"/>
          <w:sz w:val="20"/>
          <w:shd w:fill="FFFFFF" w:val="clear"/>
        </w:rPr>
        <w:t xml:space="preserve">In June 2025, Sephience was granted marketing authorization by the European Commission, or EC, for the treatment of children and adults living with PKU within the European Economic Area, or EEA. In July 2025, Sephience was approved by the U.S. Food and Drug Administration, or FDA, for the treatment of pediatric and adult patients living with PKU in the United States age one month and above. In December 2025, Sephience was approved by the Japanese Ministry of Health, Labor and Welfare, or MHLW, for the treatment of children and adults living with PKU in Japan, where the label includes individuals of all ages and the full spectrum of disease severity. In February 2026, Sephience was approved by ANVISA, the Brazilian health regulatory authority, for the treatment of children and adults living with PKU in Brazil. Sephience is also approved in additional geographies. </w:t>
      </w:r>
      <w:r>
        <w:rPr>
          <w:rFonts w:ascii="Times New Roman;Times;serif" w:hAnsi="Times New Roman;Times;serif"/>
          <w:color w:val="212529"/>
          <w:sz w:val="20"/>
          <w:shd w:fill="FFFFFF" w:val="clear"/>
        </w:rPr>
        <w:t xml:space="preserve">During the three months ended June 30, 2026, we recognized $151.3 million in net sales of Sephience.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DMD Franchise</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two products, Translarna™ (ataluren) and Emflaza® (deflazacort), for the treatment of Duchenne muscular dystrophy, or DMD, a rare, life-threatening disorder. While Translarna previously had conditional approval in the EEA, in March 2025, the EC adopted the negative opinion of the Committee of Medicinal Products for Human Use, or CHMP, of the European Medicines Agency, or EMA, to not renew the conditional marketing authorization of Translarna for the treatment of nonsense mutation Duchenne muscular dystrophy, or nmDMD. However, the EC indicated that individual countries within the European Union, or EU, can leverage Articles 117(3) and 5(1) of the EU Directive 2001/83 to allow continued commercial use of Translarna.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Translarna is an investigational new drug in the United States. In 2017, we filed a new drug application, or NDA, for Translarna for the treatment of nmDMD over protest with the FDA and in October 2017, the Office of Drug Evaluation I of the FDA issued a complete response letter for the NDA, stating that it was unable to approve the application in its current form. W</w:t>
      </w:r>
      <w:r>
        <w:rPr>
          <w:rFonts w:ascii="Times New Roman;Times;serif" w:hAnsi="Times New Roman;Times;serif"/>
          <w:color w:val="212529"/>
          <w:sz w:val="20"/>
        </w:rPr>
        <w:t>e re-submitted the NDA in July 2024 and in October 2024, the FDA accepted for review the resubmission of the NDA for Translarna for the treatment of nmDMD. Following feedback from the FDA, we decided to withdraw the NDA resubmission for Translarna in February 2026. Further development of Translarna for the treatment of nmDMD in the United States is not planned.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Translarna has marketing authorization in additional geographies outside of the EEA, though the EC adoption of the CHMP negative opinion and the withdrawal of the Translarna NDA in the United States may affect future reauthorizations. During the three months ended June 30, 2026, we recognized $42.2 million in net sales for Translarna. Emflaza is approved in the United States for the treatment of DMD in patients two years and older. During the three months ended June 30, 2026, we recognized $24.6 million in net sales for Emflaza.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previously relied on Emflaza’s seven-year marketing exclusivity period in the United States for its approved indications under the provisions of the Orphan Drug Act of 1983, or the Orphan Drug Act, when commercializing Emflaza for the treatment of DMD in patients five years and older, which expired in February 2024. With the expiration of this orphan drug exclusivity, we have seen an increase in competition from generics, which has, and we expect will continue to have, a negative impact on Emflaza net product revenue. Emflaza’s orphan drug exclusivity related to the treatment of DMD in patients two years of age to less than five expired in June 2026.</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Upstaza™ (eladocagene exuparvovec) / Kebilidi™ (eladocagene exuparvovec-tneq)</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Upstaza/Kebilidi is a gene therapy for the treatment of Aromatic L Amino Decarboxylase, or AADC, deficiency, a rare central nervous system, or CNS, disorder arising from reductions in the enzyme AADC that results from mutations in the dopa decarboxylase gene. In July 2022, the EC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w:t>
      </w:r>
      <w:r>
        <w:rPr>
          <w:rFonts w:ascii="Times New Roman;Times;serif" w:hAnsi="Times New Roman;Times;serif"/>
          <w:color w:val="212529"/>
          <w:sz w:val="20"/>
          <w:shd w:fill="FFFFFF" w:val="clear"/>
        </w:rPr>
        <w:t>In November 2024, the FDA granted accelerated approval of our gene therapy for the treatment of children and adults with AADC deficiency, which is marketed with the brand name Kebilidi in the United States.</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Tegsedi</w:t>
      </w:r>
      <w:r>
        <w:rPr>
          <w:rFonts w:ascii="Times New Roman;Times;serif" w:hAnsi="Times New Roman;Times;serif"/>
          <w:sz w:val="15"/>
        </w:rPr>
        <w:t>®</w:t>
      </w:r>
      <w:r>
        <w:rPr>
          <w:rFonts w:ascii="Times New Roman;Times;serif" w:hAnsi="Times New Roman;Times;serif"/>
          <w:sz w:val="20"/>
        </w:rPr>
        <w:t xml:space="preserve"> (inotersen) and Waylivra™ (volanesorsen)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the rights for the commercialization of Tegsedi and Waylivra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 and Brazil for the treatment of stage 1 or stage 2 polyneuropathy in adult patients with hereditary transthyretin amyloidosis, or hATTR amyloidosis. In August 2021, ANVISA, the Brazilian health regulatory authority, approved Waylivra as the first treatment for familial chylomicronemia syndrome, or FCS, in Brazil. Waylivra has also received marketing authorization in the EU for the treatment of FCS. In December 2022, ANVISA approved Waylivra for the treatment of familial partial lipodystrophy.</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Evrysdi</w:t>
      </w:r>
      <w:r>
        <w:rPr>
          <w:rFonts w:ascii="Times New Roman;Times;serif" w:hAnsi="Times New Roman;Times;serif"/>
          <w:sz w:val="15"/>
        </w:rPr>
        <w:t>®</w:t>
      </w:r>
      <w:r>
        <w:rPr>
          <w:rFonts w:ascii="Times New Roman;Times;serif" w:hAnsi="Times New Roman;Times;serif"/>
          <w:sz w:val="20"/>
        </w:rPr>
        <w:t xml:space="preserve"> (risdiplam)</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We also have a spinal muscular atrophy, or SMA, collaboration with F. Hoffman-La Roche Ltd. and Hoffman La Roche Inc., which we refer to collectively as Roche, and the Spinal Muscular Atrophy Foundation, or SMA Foundation. </w:t>
      </w:r>
      <w:r>
        <w:rPr>
          <w:rFonts w:ascii="Times New Roman;Times;serif" w:hAnsi="Times New Roman;Times;serif"/>
          <w:sz w:val="20"/>
        </w:rPr>
        <w:t>The SMA program has one approved product, Evrysdi</w:t>
      </w:r>
      <w:r>
        <w:rPr>
          <w:rFonts w:ascii="Times New Roman;Times;serif" w:hAnsi="Times New Roman;Times;serif"/>
          <w:sz w:val="15"/>
        </w:rPr>
        <w:t>®</w:t>
      </w:r>
      <w:r>
        <w:rPr>
          <w:rFonts w:ascii="Times New Roman;Times;serif" w:hAnsi="Times New Roman;Times;serif"/>
          <w:sz w:val="20"/>
        </w:rPr>
        <w:t xml:space="preserve">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also received marketing authorization for the treatment of SMA in over 100 countries. In May 2022, the FDA approved a label expansion for Evrysdi to include infants under two months old with SMA. In August 2023, the EC approved an extension of the Evrysdi marketing authorization to include infants under two months old in the EU.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Diversified Development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Splicing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our SMA program, our splicing platform also includes votoplam, which is being developed for the treatment of Huntington’s disease, or HD. We announced the results from our Phase 1 study of votoplam in healthy volunteers in September 2021 demonstrating dose-dependent lowering of huntingtin messenger ribonucleic acid and protein levels, that votoplam efficiently crosses blood brain barrier at significant levels and that votoplam was well tolerated. </w:t>
      </w:r>
      <w:r>
        <w:rPr>
          <w:rFonts w:ascii="Times New Roman;Times;serif" w:hAnsi="Times New Roman;Times;serif"/>
          <w:sz w:val="20"/>
          <w:shd w:fill="FFFFFF" w:val="clear"/>
        </w:rPr>
        <w:t xml:space="preserve">We initiated a Phase 2 study of votoplam for the treatment of HD in the first quarter of 2022, which consisted of an initial 12-week placebo-controlled phase focused on safety, pharmacology and pharmacodynamic effects followed by a nine-month placebo-controlled phase focused on votoplam biomarker effect. </w:t>
      </w:r>
      <w:r>
        <w:rPr>
          <w:rFonts w:ascii="Times New Roman;Times;serif" w:hAnsi="Times New Roman;Times;serif"/>
          <w:sz w:val="20"/>
        </w:rPr>
        <w:t xml:space="preserve">In September 2024, the FDA granted Fast Track designation to the votoplam program for the treatment of HD.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we entered into a License and Collaboration Agreement with Novartis Pharmaceuticals Corporation, or Novartis, relating to our votoplam program, or the Novartis Agreement, which included related molecules.</w:t>
      </w:r>
      <w:r>
        <w:rPr>
          <w:rFonts w:ascii="Times New Roman;Times;serif" w:hAnsi="Times New Roman;Times;serif"/>
          <w:color w:val="212529"/>
          <w:sz w:val="20"/>
          <w:shd w:fill="FFFFFF" w:val="clear"/>
        </w:rPr>
        <w:t xml:space="preserve"> While Novartis has taken over responsibility for the further development of the votoplam program, we continue to collaborate with Novartis on next steps. </w:t>
      </w:r>
      <w:r>
        <w:rPr>
          <w:rFonts w:ascii="Times New Roman;Times;serif" w:hAnsi="Times New Roman;Times;serif"/>
          <w:sz w:val="20"/>
        </w:rPr>
        <w:t>In May 2025, we announced that the Phase 2 study of votoplam met its primary endpoints of blood HTT lowering and safety. The results on the full study population are consistent with the previously reported evidence of dose-dependent HTT lowering, favorable safety profile and early signals of dose-dependent clinical effect at 12 months in Stage 2 patients. In addition, at 24 months of treatment, there were continued trends of dose-dependent favorable clinical effect relative to a propensity-matched natural history cohort as well as dose-dependent NfL lowering. In April 2026, Novartis announced that it had commenced the global Phase 3 clinical trial, which is expected to enroll approximately 770 individuals with early symptomatic disease, randomized 3:2 to receive votoplam 10 milligrams or placebo, and includes an interim analysis. Also in April 2026, we reported positive topline results from the 24-month interim analysis of the PIVOT-HD long-term extension study, with favorable dose-dependent effects on disease progression for Stage 2 HD patients following 24 months of votoplam treatment compared to an external natural history cohort, with 52% slowing of disease progression on the Composite Unified Huntington’s Disease Rating Scale at the 10 milligram dose level. While the Phase 3 clinical trial remains the base case for votoplam approval, we are working with Novartis to finalize a plan to engage with FDA to discuss the 24-month results in the second half of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Inflammation and Ferroptosis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inflammation and ferroptosis platform consists of small molecule compounds that target oxidoreductase enzymes that regulate oxidative stress and inflammatory pathways central to the pathology of a number of CNS and non-CNS diseases. The most advanced molecule in our inflammation and ferroptosis platform is vatiquinone. We announced topline results from a registration-directed Phase 3 trial of vatiquinone in children and young adults with Friedreich’s ataxia, or FA, called MOVE-FA, in May 2023. While the trial did not meet its primary endpoint, vatiquinone treatment did demonstrate significant benefit on key disease subscales, including the upright stability subscale, as well as on other disease relevant endpoints.</w:t>
      </w:r>
      <w:r>
        <w:rPr>
          <w:rFonts w:ascii="Times New Roman;Times;serif" w:hAnsi="Times New Roman;Times;serif"/>
          <w:sz w:val="20"/>
          <w:shd w:fill="FFFFFF" w:val="clear"/>
        </w:rPr>
        <w:t xml:space="preserve"> </w:t>
      </w:r>
      <w:r>
        <w:rPr>
          <w:rFonts w:ascii="Times New Roman;Times;serif" w:hAnsi="Times New Roman;Times;serif"/>
          <w:sz w:val="20"/>
        </w:rPr>
        <w:t>In October 2024, we announced that the pre-specified endpoint for two different FA long-term extension studies was met, with statistically significant evidence of durable treatment benefit on disease progression. In December 2024, we submitted an NDA to the FDA for vatiquinone for the treatment of children and adults living with FA.</w:t>
      </w:r>
      <w:r>
        <w:rPr>
          <w:rFonts w:ascii="Times New Roman;Times;serif" w:hAnsi="Times New Roman;Times;serif"/>
          <w:sz w:val="20"/>
          <w:shd w:fill="FFFFFF" w:val="clear"/>
        </w:rPr>
        <w:t xml:space="preserve"> In August 2025, the FDA issued a complete response letter related to the NDA stating that substantial evidence of efficacy was not demonstrated for vatiquinone and that an additional adequate and well-controlled study would be needed to support NDA resubmission. </w:t>
      </w:r>
      <w:r>
        <w:rPr>
          <w:rFonts w:ascii="Times New Roman;Times;serif" w:hAnsi="Times New Roman;Times;serif"/>
          <w:sz w:val="20"/>
        </w:rPr>
        <w:t>We met with the FDA in the fourth quarter of 2025 to discuss the vatiquinone development program, at which time the FDA suggested an additional study be conducted to support NDA resubmission. In April 2026, we again met with FDA to discuss the design of a new trial to provide additional data to support NDA resubmission. Based on the meeting discussion and written feedback, we plan to initiate the PROVE-FA open label study using matched natural history control in the third quarter of 2026. This study is expected to enroll approximately 120 patients ages 7 to 21 and the study primary endpoint is the change in mFARS from baseline to month 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quarter ended June 30, 2026, we initiated a Phase 1 study of PTC612, our oral NLRP3 inhibitor, and completed several of the single and multiple ascending dose treatment cohorts. Notably, this healthy volunteer study includes a cohort of individuals with obesity and cardiovascular disease, which we expect will provide an early view of pharmacokinetics and pharmacodynamics. We also expect to initiate a Phase 2a study of PTC844, our next-generation DHODH inhibitor,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third quarter of 2026. The PTC844 study will be a 12-week pharmacokinetics and pharmacodynamics study in which we will assess treatment effect on biomarkers related to T-cell and B-cell immunity. We expect that the results of this study will help inform the ultimate target indications for PTC844.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Multi-Platform Discovery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a pipeline of product candidates and discovery programs that are in early clinical, pre-clinical and research and development stages focused on the development of new treatments for multiple therapeutic areas for rare diseases.</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Funding</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success of our products and any other product candidates we may develop depends largely on obtaining and maintaining reimbursement from governments and third-party insurers. Our revenues were primarily generated from sales of Sephience for the treatment of PKU in the U.S. and EEA, Translarna for the treatment of nmDMD in countries where we were able to obtain acceptable commercial pricing and reimbursement terms and in select countries where we are permitted to distribute Translarna under our early access programs, or EAP, programs or through similar styled programs, and from sales of Emflaza for </w:t>
      </w:r>
      <w:r>
        <w:rPr>
          <w:rFonts w:ascii="Times New Roman;Times;serif" w:hAnsi="Times New Roman;Times;serif"/>
          <w:color w:val="212529"/>
          <w:sz w:val="20"/>
        </w:rPr>
        <w:t>the treatment of DMD in the United States. There is a substantial risk that as a result of the EC’s adoption of the CHMP’s negative opinion we will lose a significant portion of our ability to generate revenue from sales of Translarna in the EEA. We also generated revenue from sales of Upstaza/Kebilidi for the treatment of AADC deficiency in the EEA and in the U.S., and have recognized revenue associated with milestone and royalty payments from Roche pursuant to a License and Collaboration Agreement, or the SMA License Agreement, by and among us, Roche and, for the limited purposes set forth therein, the SMA Foundation, under our SMA program and we have recognized license revenues related to performance obligations completed pursuant to the Novartis Agreement.</w:t>
      </w:r>
    </w:p>
    <w:p>
      <w:pPr>
        <w:pStyle w:val="TextBody"/>
        <w:pBdr/>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We have financed our operations to date primarily through the private offerings of convertible senior notes, public and “at the market” offerings of common stock, proceeds from royalty purchase agreements,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areas addressed by our product candidates. We have relied on revenue generated from net sales of our products. We have also relied on revenue associated with milestone and royalty payments from Roche pursuant to the SMA License Agreement under our SMA program, revenue generated from net sales of Tegsedi and Waylivra in Latin America and the Caribbean, and license revenues related to performance obligations already completed pursuant to the Novartis Agreement.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In June 2024, we entered into an amendment with Royalty Pharma Investments 2019 ICAV, or Royalty Pharma, and Royalty Pharma plc, to the Amended and Restated Royalty Purchase Agreement, dated October 18, 2023, or the A&amp;R Royalty Purchase Agreement, which amends and restated in its entirety the Royalty Purchase Agreement with RPI Intermediate Finance Trust, or the Immediate Finance Trust, or the Original Purchase Agreement, and we exercised our first put option in exchange for $241.8 million in cash consideration. In December 2025, we, Royalty Pharma, and, for the limited purposes set forth in Amendment No. 2 (as defined below), Royalty Pharma plc, entered into an Amendment No. 2 to Amended and Restated Royalty Purchase Agreement, or Amendment No. 2, which amends that certain A&amp;R Royalty Purchase Agreement, as amended.  Under Amendment No. 2, we sold to Royalty Pharma a certain portion of our right to receive sales-based royalty payments on worldwide net sales of Roche’s Evrysdi® (risdiplam) product and any other product developed pursuant to the License and Collaboration Agreement, dated as of November 23, 2011, by and among us, F. Hoffman-La Roche Ltd, Hoffman-La Roche Inc., together with F. Hoffman-La Roche Ltd, Roche, and, for the limited purposes set forth therein, the Spinal Muscular Atrophy Foundation, such payments, the Royalty. Pursuant to Amendment No. 2, on December 29, 2025, we sold to Royalty Pharma its retained interest in the Royalty in exchange for $240.0 million in upfront cash consideration, and three potential additional cash purchase price payments of $20.0 million each conditioned upon receipt by Royalty Pharma of more than $347.0 million of Assigned Royalty Payments (as defined in the A&amp;R Royalty Purchase Agreement) in respect of Calendar Year Net Sales (as defined in the A&amp;R Royalty Purchase Agreement) arising in 2027, $363.0 million of Assigned Royalty Payments in respect of Calendar Year Net Sales arising in 2028, and $379.0 million of Assigned Royalty Payments in respect of Calendar Year Net Sales arising in 2029, respectively. The retained interest sold by us to Royalty Pharma purs</w:t>
      </w:r>
      <w:r>
        <w:rPr>
          <w:rFonts w:ascii="Times New Roman;Times;serif" w:hAnsi="Times New Roman;Times;serif"/>
          <w:sz w:val="20"/>
        </w:rPr>
        <w:t xml:space="preserve">uant to the Amendment No. 2 is equal to 9.5111% of the Royalty before the 2020 Assigned Royalty Cap (as defined in the A&amp;R Royalty Purchase Agreement) has been met,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16.6666% of the Royalty from and after such time as the 2020 Assigned Royalty Cap has been met. As a result of the sale, Royalty Pharma owns 100% of the Royalty and we own 0% of the Royalty.</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November 2024, we entered into the Novartis Agreement relating to our votoplam HD program which includes related molecules. Novartis is responsible for all other development of licensed compounds and licensed products and the manufacture and commercialization of licensed compounds and licensed products worldwide. </w:t>
      </w:r>
      <w:r>
        <w:rPr>
          <w:rFonts w:ascii="Times New Roman;Times;serif" w:hAnsi="Times New Roman;Times;serif"/>
          <w:color w:val="212529"/>
          <w:sz w:val="20"/>
        </w:rPr>
        <w:t>While Novartis has taken over responsibility for the further development of the votoplam program, we continue to collaborate with Novartis on next steps. </w:t>
      </w:r>
      <w:r>
        <w:rPr>
          <w:rFonts w:ascii="Times New Roman;Times;serif" w:hAnsi="Times New Roman;Times;serif"/>
          <w:sz w:val="20"/>
        </w:rPr>
        <w:t>Under the Novartis Agreement, and upon the closing of the transaction contemplated by the Novartis Agreement in January 2025, we received an upfront payment of $1.0 billion on the effective date and we are eligible to receive up to $1.9 billion in development, regulatory and sales milestones, a 40% share of U.S. profits and losses, and tiered double-digit royalties on ex-U.S. sales. We have also recognized revenue associated with milestone payments from Novartis pursuant to the Novartis Agreement. In April 2026, Novartis notified us that it had initiated the first Phase 3 clinical trial for a Licensed Product (as defined in the Novartis Agreement), which pursuant to the Novartis Agreement, triggered a $50.0 million milestone payment to us. The $50.0 million development milestone is recorded as collaboration and license revenue for the three and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three and six months ended June 30, 2026, we did not issue or sell any shares of common stock pursuant to the Sales Agreement. The remaining shares of our common stock available to be issued and sold, under the Sales Agreement, have an aggregate offering price of up to $93.0 million as of June 30, 2026.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 xml:space="preserve">In June 2026, we issued $550.0 million aggregate principal amount of 0% convertible senior notes due 2031, or the 2031 Convertible Notes, which reflects the exercise in full by the initial purchasers of their option to purchase up to an additional $50.0 million in aggregate principal amount of the 2031 Convertible Notes. The 2031 Convertible Notes are governed by an indenture, or the 2031 Convertible Notes Indenture, with U.S. Bank Trust Company, National Association as trustee. The 2031 Convertible Notes bear no regular interest and the principal amounts of the 2031 Convertible Notes will not accrete. </w:t>
      </w:r>
      <w:r>
        <w:rPr>
          <w:rFonts w:ascii="Times New Roman;Times;serif" w:hAnsi="Times New Roman;Times;serif"/>
          <w:i w:val="false"/>
          <w:caps w:val="false"/>
          <w:smallCaps w:val="false"/>
          <w:sz w:val="20"/>
          <w:shd w:fill="FFFFFF" w:val="clear"/>
        </w:rPr>
        <w:t xml:space="preserve">The 2031 Convertible Notes may bear special interest under specified circumstances relating to our failure to comply with our reporting obligations under the </w:t>
      </w:r>
      <w:r>
        <w:rPr>
          <w:rFonts w:ascii="Times New Roman;Times;serif" w:hAnsi="Times New Roman;Times;serif"/>
          <w:i w:val="false"/>
          <w:caps w:val="false"/>
          <w:smallCaps w:val="false"/>
          <w:sz w:val="20"/>
        </w:rPr>
        <w:t>2031 Convertible Notes Indenture</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 xml:space="preserve">or if the </w:t>
      </w:r>
      <w:r>
        <w:rPr>
          <w:rFonts w:ascii="Times New Roman;Times;serif" w:hAnsi="Times New Roman;Times;serif"/>
          <w:i w:val="false"/>
          <w:caps w:val="false"/>
          <w:smallCaps w:val="false"/>
          <w:sz w:val="20"/>
        </w:rPr>
        <w:t>2031 Convertible Notes</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 xml:space="preserve">are not freely tradeable as required by the </w:t>
      </w:r>
      <w:r>
        <w:rPr>
          <w:rFonts w:ascii="Times New Roman;Times;serif" w:hAnsi="Times New Roman;Times;serif"/>
          <w:i w:val="false"/>
          <w:caps w:val="false"/>
          <w:smallCaps w:val="false"/>
          <w:sz w:val="20"/>
        </w:rPr>
        <w:t>2031 Convertible Notes Indenture</w:t>
      </w:r>
      <w:r>
        <w:rPr>
          <w:rFonts w:ascii="Times New Roman;Times;serif" w:hAnsi="Times New Roman;Times;serif"/>
          <w:i w:val="false"/>
          <w:caps w:val="false"/>
          <w:smallCaps w:val="false"/>
          <w:sz w:val="20"/>
          <w:shd w:fill="FFFFFF" w:val="clear"/>
        </w:rPr>
        <w:t xml:space="preserve">. Special interest, if any, will be payable semiannually in arrears on June 15 and December 15 of each year, beginning on December 15, 2026 (if and to the extent that special interest is payable). The </w:t>
      </w:r>
      <w:r>
        <w:rPr>
          <w:rFonts w:ascii="Times New Roman;Times;serif" w:hAnsi="Times New Roman;Times;serif"/>
          <w:i w:val="false"/>
          <w:caps w:val="false"/>
          <w:smallCaps w:val="false"/>
          <w:sz w:val="20"/>
        </w:rPr>
        <w:t>2031 Convertible Notes</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will mature on June 15, 2031, unless earlier converted, redeemed or repurchased pursuant to their terms. We received net proceeds of</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approximately $535.4 million after deducting the initial purchasers’ discounts and commissions and the offering expenses payable by us.</w:t>
      </w:r>
    </w:p>
    <w:p>
      <w:pPr>
        <w:pStyle w:val="TextBody"/>
        <w:bidi w:val="0"/>
        <w:spacing w:before="0" w:after="240"/>
        <w:ind w:left="0" w:right="0" w:hanging="0"/>
        <w:jc w:val="both"/>
        <w:rPr>
          <w:rFonts w:ascii="Times New Roman;Times;serif" w:hAnsi="Times New Roman;Times;serif"/>
          <w:i/>
          <w:sz w:val="20"/>
        </w:rPr>
      </w:pPr>
      <w:r>
        <w:rPr>
          <w:rFonts w:ascii="TimesNewRoman" w:hAnsi="TimesNewRoman"/>
          <w:i w:val="false"/>
          <w:caps w:val="false"/>
          <w:smallCaps w:val="false"/>
          <w:sz w:val="20"/>
        </w:rPr>
        <w:t>Following the issuance of the 2031 Convertible Notes, we used approximately $328.8 million of the net proceeds of the 2031 Convertible Notes to repurchase for cash $222.0 million aggregate principal amount of our outstanding 1.50% convertible senior notes due September 15, 2026, or the 2026 Convertible Notes, pursuant to privately negotiated transactions with certain holders entered into concurrently with the pricing of the offering of the 2031 Convertible Notes. Cash interest payments on the 2026 Convertible Notes were payable on a semi-annual basis in arrears, which will require remaining funding of $0.4 million.</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The 2026 Convertible Notes are currently convertible at the option of the holders and will mature and become due and payable on September 15, 2026, unless earlier repurchased or converted.</w:t>
      </w:r>
      <w:r>
        <w:rPr>
          <w:rFonts w:ascii="Times New Roman;Times;serif" w:hAnsi="Times New Roman;Times;serif"/>
          <w:i/>
          <w:caps w:val="false"/>
          <w:smallCaps w:val="false"/>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quarter ended June 30, 2026, aggregate Sephience global net sales in the prior four consecutive quarters exceeded $250.0 million, which, pursuant to the Agreement and Plan of Merger, dated as of May 6, 2020, or the Censa Merger Agreement, by and among us and Censa Pharmaceuticals, Inc., or Censa, triggered a $30.0 million net sales milestone to the former Censa securityholders. This milestone payment was recorded in accounts payable and accrued expenses on our consolidated balance sheet as of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an accumulated deficit of $2,883.5 million. We had net income of $80.7 million and $801.7 million for the six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anticipate that we will continue to incur significant expenses in connection with our commercialization efforts in the United States, the EEA, Latin America, Japan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our splicing and inflammation and ferroptosis programs as well as studies in our products for maintaining authorizations, label extensions and additional indications.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pStyle w:val="TextBody"/>
        <w:bidi w:val="0"/>
        <w:spacing w:before="0" w:after="240"/>
        <w:ind w:left="0" w:right="0" w:hanging="0"/>
        <w:jc w:val="both"/>
        <w:rPr>
          <w:rFonts w:ascii="Times New Roman;Times;serif" w:hAnsi="Times New Roman;Times;serif"/>
          <w:sz w:val="20"/>
        </w:rPr>
      </w:pPr>
      <w:bookmarkStart w:id="2074" w:name="_Hlk109909797"/>
      <w:bookmarkStart w:id="2075" w:name="_Hlk109910234"/>
      <w:bookmarkEnd w:id="2074"/>
      <w:bookmarkEnd w:id="2075"/>
      <w:r>
        <w:rPr>
          <w:rFonts w:ascii="Times New Roman;Times;serif" w:hAnsi="Times New Roman;Times;serif"/>
          <w:sz w:val="20"/>
          <w:shd w:fill="FFFFFF" w:val="clear"/>
        </w:rPr>
        <w:t xml:space="preserve">We also have certain significant contractual obligations and commercial commitments that require funding and we have disclosed these items under the heading “Management’s Discussion and Analysis of Financial Condition and Results of Operations-Funding Obligations” in our 2025 Annual Report. </w:t>
      </w:r>
      <w:r>
        <w:rPr>
          <w:rFonts w:ascii="Times New Roman;Times;serif" w:hAnsi="Times New Roman;Times;serif"/>
          <w:sz w:val="20"/>
        </w:rPr>
        <w:t xml:space="preserve">There were no material changes to these obligations and commitments during the period ended June 30, 2026. </w:t>
      </w:r>
      <w:r>
        <w:rPr>
          <w:rFonts w:ascii="Times New Roman;Times;serif" w:hAnsi="Times New Roman;Times;serif"/>
          <w:sz w:val="20"/>
          <w:shd w:fill="FFFFFF" w:val="clear"/>
        </w:rPr>
        <w:t>Furthermore, since we are a public company, we have incurred and expect to continue to incur additional costs associated with operating as such including significant legal, accounting, investor relations and other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generate significant revenues to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pStyle w:val="TextBody"/>
        <w:bidi w:val="0"/>
        <w:spacing w:before="0" w:after="240"/>
        <w:ind w:left="0" w:right="0" w:hanging="0"/>
        <w:jc w:val="left"/>
        <w:rPr>
          <w:rFonts w:ascii="Times New Roman;Times;serif" w:hAnsi="Times New Roman;Times;serif"/>
          <w:b/>
          <w:sz w:val="20"/>
        </w:rPr>
      </w:pPr>
      <w:bookmarkStart w:id="2076" w:name="_Hlk108697565"/>
      <w:bookmarkEnd w:id="2076"/>
      <w:r>
        <w:rPr>
          <w:rFonts w:ascii="Times New Roman;Times;serif" w:hAnsi="Times New Roman;Times;serif"/>
          <w:b/>
          <w:sz w:val="20"/>
        </w:rPr>
        <w:t>Financial operations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Net product revenues. </w:t>
      </w:r>
      <w:r>
        <w:rPr>
          <w:rFonts w:ascii="Times New Roman;Times;serif" w:hAnsi="Times New Roman;Times;serif"/>
          <w:sz w:val="20"/>
        </w:rPr>
        <w:t>Our net product revenues primarily consist of sales of Sephience for the treatment of PKU. Our net product revenues also consist of sales of Translarna for the treatment of nmDMD in territories outside of the United States, and sales of Emflaza for the treatment of DMD in the United States. We recognize revenue when performance obligations with customers have been satisfied and if it is probable that a significant revenue reversal will not occur.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and 2025, net product revenues consisted of the following:</w:t>
      </w:r>
    </w:p>
    <w:tbl>
      <w:tblPr>
        <w:tblW w:w="2539" w:type="dxa"/>
        <w:jc w:val="left"/>
        <w:tblInd w:w="0" w:type="dxa"/>
        <w:tblLayout w:type="fixed"/>
        <w:tblCellMar>
          <w:top w:w="0" w:type="dxa"/>
          <w:left w:w="0" w:type="dxa"/>
          <w:bottom w:w="0" w:type="dxa"/>
          <w:right w:w="0" w:type="dxa"/>
        </w:tblCellMar>
      </w:tblPr>
      <w:tblGrid>
        <w:gridCol w:w="124"/>
        <w:gridCol w:w="109"/>
        <w:gridCol w:w="160"/>
        <w:gridCol w:w="160"/>
        <w:gridCol w:w="160"/>
        <w:gridCol w:w="160"/>
        <w:gridCol w:w="160"/>
        <w:gridCol w:w="160"/>
        <w:gridCol w:w="160"/>
        <w:gridCol w:w="160"/>
        <w:gridCol w:w="160"/>
        <w:gridCol w:w="160"/>
        <w:gridCol w:w="160"/>
        <w:gridCol w:w="160"/>
        <w:gridCol w:w="160"/>
        <w:gridCol w:w="22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8740" cy="175260"/>
                      <wp:effectExtent l="0" t="0" r="0" b="0"/>
                      <wp:wrapNone/>
                      <wp:docPr id="517" name="Frame5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01600" cy="175260"/>
                      <wp:effectExtent l="0" t="0" r="0" b="0"/>
                      <wp:wrapNone/>
                      <wp:docPr id="519" name="Frame519"/>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01600" cy="175260"/>
                      <wp:effectExtent l="0" t="0" r="0" b="0"/>
                      <wp:wrapNone/>
                      <wp:docPr id="520" name="Frame52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01600" cy="175260"/>
                      <wp:effectExtent l="0" t="0" r="0" b="0"/>
                      <wp:wrapNone/>
                      <wp:docPr id="521" name="Frame521"/>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01600" cy="175260"/>
                      <wp:effectExtent l="0" t="0" r="0" b="0"/>
                      <wp:wrapNone/>
                      <wp:docPr id="522" name="Frame522"/>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01600" cy="175260"/>
                      <wp:effectExtent l="0" t="0" r="0" b="0"/>
                      <wp:wrapNone/>
                      <wp:docPr id="523" name="Frame523"/>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01600" cy="175260"/>
                      <wp:effectExtent l="0" t="0" r="0" b="0"/>
                      <wp:wrapNone/>
                      <wp:docPr id="524" name="Frame524"/>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01600" cy="175260"/>
                      <wp:effectExtent l="0" t="0" r="0" b="0"/>
                      <wp:wrapNone/>
                      <wp:docPr id="525" name="Frame525"/>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01600" cy="175260"/>
                      <wp:effectExtent l="0" t="0" r="0" b="0"/>
                      <wp:wrapNone/>
                      <wp:docPr id="526" name="Frame526"/>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01600" cy="175260"/>
                      <wp:effectExtent l="0" t="0" r="0" b="0"/>
                      <wp:wrapNone/>
                      <wp:docPr id="527" name="Frame527"/>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01600" cy="175260"/>
                      <wp:effectExtent l="0" t="0" r="0" b="0"/>
                      <wp:wrapNone/>
                      <wp:docPr id="528" name="Frame528"/>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1600" cy="175260"/>
                      <wp:effectExtent l="0" t="0" r="0" b="0"/>
                      <wp:wrapNone/>
                      <wp:docPr id="529" name="Frame529"/>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01600" cy="175260"/>
                      <wp:effectExtent l="0" t="0" r="0" b="0"/>
                      <wp:wrapNone/>
                      <wp:docPr id="530" name="Frame53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01600" cy="175260"/>
                      <wp:effectExtent l="0" t="0" r="0" b="0"/>
                      <wp:wrapNone/>
                      <wp:docPr id="531" name="Frame531"/>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43510" cy="175260"/>
                      <wp:effectExtent l="0" t="0" r="0" b="0"/>
                      <wp:wrapNone/>
                      <wp:docPr id="532" name="Frame5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893" w:type="dxa"/>
        <w:jc w:val="left"/>
        <w:tblInd w:w="0" w:type="dxa"/>
        <w:tblLayout w:type="fixed"/>
        <w:tblCellMar>
          <w:top w:w="0" w:type="dxa"/>
          <w:left w:w="0" w:type="dxa"/>
          <w:bottom w:w="0" w:type="dxa"/>
          <w:right w:w="0" w:type="dxa"/>
        </w:tblCellMar>
      </w:tblPr>
      <w:tblGrid>
        <w:gridCol w:w="1921"/>
        <w:gridCol w:w="109"/>
        <w:gridCol w:w="196"/>
        <w:gridCol w:w="1006"/>
        <w:gridCol w:w="196"/>
        <w:gridCol w:w="991"/>
        <w:gridCol w:w="196"/>
        <w:gridCol w:w="691"/>
        <w:gridCol w:w="109"/>
        <w:gridCol w:w="109"/>
        <w:gridCol w:w="196"/>
        <w:gridCol w:w="1006"/>
        <w:gridCol w:w="196"/>
        <w:gridCol w:w="991"/>
        <w:gridCol w:w="196"/>
        <w:gridCol w:w="784"/>
      </w:tblGrid>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0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3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 thousands)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Sephience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127,550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23,760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151,310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Translarna</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42,217</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42,217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59,470</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Emflaza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24,634</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Upstaza/Kebilidi</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11,163</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other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9,495</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10,617</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10,617</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product revenue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152,184</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86,635</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238,819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36,353</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81,976</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118,329</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6863"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3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United States</w:t>
            </w:r>
          </w:p>
        </w:tc>
        <w:tc>
          <w:tcPr>
            <w:tcW w:w="19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International</w:t>
            </w:r>
          </w:p>
        </w:tc>
        <w:tc>
          <w:tcPr>
            <w:tcW w:w="196"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Sephience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239,590</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36,271</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275,861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Translarna</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101,193</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145,624</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145,624</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Emflaza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46,112</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46,112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Upstaza/Kebilidi</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2,998</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17,759</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20,547</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20,547</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other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20,469</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20,469</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21,442</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21,442</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product revenue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288,700</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175,692</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464,392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84,142</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187,613</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271,755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Disaggregated net product revenues by country for the three and six months ended June 30, 2026 and 2025, are as follows:</w:t>
      </w:r>
    </w:p>
    <w:tbl>
      <w:tblPr>
        <w:tblW w:w="7490" w:type="dxa"/>
        <w:jc w:val="left"/>
        <w:tblInd w:w="0" w:type="dxa"/>
        <w:tblLayout w:type="fixed"/>
        <w:tblCellMar>
          <w:top w:w="0" w:type="dxa"/>
          <w:left w:w="0" w:type="dxa"/>
          <w:bottom w:w="0" w:type="dxa"/>
          <w:right w:w="0" w:type="dxa"/>
        </w:tblCellMar>
      </w:tblPr>
      <w:tblGrid>
        <w:gridCol w:w="2221"/>
        <w:gridCol w:w="109"/>
        <w:gridCol w:w="251"/>
        <w:gridCol w:w="931"/>
        <w:gridCol w:w="129"/>
        <w:gridCol w:w="251"/>
        <w:gridCol w:w="931"/>
        <w:gridCol w:w="129"/>
        <w:gridCol w:w="109"/>
        <w:gridCol w:w="232"/>
        <w:gridCol w:w="859"/>
        <w:gridCol w:w="120"/>
        <w:gridCol w:w="232"/>
        <w:gridCol w:w="98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410335" cy="175260"/>
                      <wp:effectExtent l="0" t="0" r="0" b="0"/>
                      <wp:wrapNone/>
                      <wp:docPr id="533" name="Frame533"/>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260"/>
                      <wp:effectExtent l="0" t="0" r="0" b="0"/>
                      <wp:wrapNone/>
                      <wp:docPr id="534" name="Frame5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59385" cy="175260"/>
                      <wp:effectExtent l="0" t="0" r="0" b="0"/>
                      <wp:wrapNone/>
                      <wp:docPr id="535" name="Frame53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91185" cy="175260"/>
                      <wp:effectExtent l="0" t="0" r="0" b="0"/>
                      <wp:wrapNone/>
                      <wp:docPr id="536" name="Frame5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81915" cy="175260"/>
                      <wp:effectExtent l="0" t="0" r="0" b="0"/>
                      <wp:wrapNone/>
                      <wp:docPr id="537" name="Frame53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59385" cy="175260"/>
                      <wp:effectExtent l="0" t="0" r="0" b="0"/>
                      <wp:wrapNone/>
                      <wp:docPr id="538" name="Frame53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1185" cy="175260"/>
                      <wp:effectExtent l="0" t="0" r="0" b="0"/>
                      <wp:wrapNone/>
                      <wp:docPr id="539" name="Frame5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81915" cy="175260"/>
                      <wp:effectExtent l="0" t="0" r="0" b="0"/>
                      <wp:wrapNone/>
                      <wp:docPr id="540" name="Frame540"/>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175260"/>
                      <wp:effectExtent l="0" t="0" r="0" b="0"/>
                      <wp:wrapNone/>
                      <wp:docPr id="541"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47320" cy="175260"/>
                      <wp:effectExtent l="0" t="0" r="0" b="0"/>
                      <wp:wrapNone/>
                      <wp:docPr id="542" name="Frame54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45465" cy="175260"/>
                      <wp:effectExtent l="0" t="0" r="0" b="0"/>
                      <wp:wrapNone/>
                      <wp:docPr id="543" name="Frame54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76200" cy="175260"/>
                      <wp:effectExtent l="0" t="0" r="0" b="0"/>
                      <wp:wrapNone/>
                      <wp:docPr id="544" name="Frame544"/>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47320" cy="175260"/>
                      <wp:effectExtent l="0" t="0" r="0" b="0"/>
                      <wp:wrapNone/>
                      <wp:docPr id="545" name="Frame54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26110" cy="175260"/>
                      <wp:effectExtent l="0" t="0" r="0" b="0"/>
                      <wp:wrapNone/>
                      <wp:docPr id="546" name="Frame546"/>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2"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4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9" w:type="dxa"/>
            <w:tcBorders/>
            <w:vAlign w:val="center"/>
          </w:tcPr>
          <w:p>
            <w:pPr>
              <w:pStyle w:val="TableContents"/>
              <w:bidi w:val="0"/>
              <w:spacing w:before="0" w:after="1"/>
              <w:ind w:left="0" w:right="0" w:hanging="0"/>
              <w:jc w:val="left"/>
              <w:rPr/>
            </w:pPr>
            <w:r>
              <w:rPr/>
              <w:t>​</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2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152,184</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36,353</w:t>
            </w:r>
          </w:p>
        </w:tc>
        <w:tc>
          <w:tcPr>
            <w:tcW w:w="1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288,700</w:t>
            </w:r>
          </w:p>
        </w:tc>
        <w:tc>
          <w:tcPr>
            <w:tcW w:w="120"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84,142</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Russia</w:t>
            </w:r>
          </w:p>
        </w:tc>
        <w:tc>
          <w:tcPr>
            <w:tcW w:w="10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25,581</w:t>
            </w:r>
          </w:p>
        </w:tc>
        <w:tc>
          <w:tcPr>
            <w:tcW w:w="12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18,124</w:t>
            </w:r>
          </w:p>
        </w:tc>
        <w:tc>
          <w:tcPr>
            <w:tcW w:w="1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28,830</w:t>
            </w:r>
          </w:p>
        </w:tc>
        <w:tc>
          <w:tcPr>
            <w:tcW w:w="120"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56,638</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Brazil</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8,210</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40,951</w:t>
            </w:r>
          </w:p>
        </w:tc>
        <w:tc>
          <w:tcPr>
            <w:tcW w:w="1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49,422</w:t>
            </w:r>
          </w:p>
        </w:tc>
        <w:tc>
          <w:tcPr>
            <w:tcW w:w="120"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50,456</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10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52,844</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22,901</w:t>
            </w:r>
          </w:p>
        </w:tc>
        <w:tc>
          <w:tcPr>
            <w:tcW w:w="1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97,440</w:t>
            </w:r>
          </w:p>
        </w:tc>
        <w:tc>
          <w:tcPr>
            <w:tcW w:w="1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80,519</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product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238,819</w:t>
            </w:r>
          </w:p>
        </w:tc>
        <w:tc>
          <w:tcPr>
            <w:tcW w:w="1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118,329</w:t>
            </w:r>
          </w:p>
        </w:tc>
        <w:tc>
          <w:tcPr>
            <w:tcW w:w="1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464,392</w:t>
            </w:r>
          </w:p>
        </w:tc>
        <w:tc>
          <w:tcPr>
            <w:tcW w:w="1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271,755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three and six months ended June 30, 2026, three of our distributors each accounted for over 10% of our net product sales. For three and six months ended June 30, 2025, three and two of our distributors, respectively, each accounted for over 10% of our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we incur costs to fulfill a contract but do not incur costs to obtain a contract. These costs to fulfill a contract do not meet the criteria for capitalization and are expensed as incurred. We consider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Roche and the SMA Foundation Collaboration. </w:t>
      </w:r>
      <w:r>
        <w:rPr>
          <w:rFonts w:ascii="Times New Roman;Times;serif" w:hAnsi="Times New Roman;Times;serif"/>
          <w:sz w:val="20"/>
        </w:rPr>
        <w:t xml:space="preserve">In November 2011, we entered into the SMA License Agreement pursuant 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June 30, 2026, we had recognized a total of $310.0 million in milestone payments and $907.7 million in royalties on net sales pursuant to the SMA License Agreement. As of June 30, 2026, there are no remaining research and development event milestones that we can receive. The remaining potential sales milestones as of June 30, 2026 are $150.0 million upon achievement of certain sales events.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and 2025, we did not recognize collaboration revenue related to the SMA License Agreement with Roche.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we recognized $71.1 million and $117.9 million of royalty revenue, respectively, related to Evrysdi. For the three and six months ended June 30, 2025, we recognized $57.6 million and $94.0 million of royalty revenue, respectively, related to Evrysdi.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Novartis Collaboration for votoplam</w:t>
      </w:r>
      <w:r>
        <w:rPr>
          <w:rFonts w:ascii="Times New Roman;Times;serif" w:hAnsi="Times New Roman;Times;serif"/>
          <w:sz w:val="20"/>
        </w:rPr>
        <w:t xml:space="preserve"> </w:t>
      </w:r>
      <w:r>
        <w:rPr>
          <w:rFonts w:ascii="Times New Roman;Times;serif" w:hAnsi="Times New Roman;Times;serif"/>
          <w:i/>
          <w:sz w:val="20"/>
        </w:rPr>
        <w:t>HD.</w:t>
      </w:r>
      <w:r>
        <w:rPr>
          <w:rFonts w:ascii="Times New Roman;Times;serif" w:hAnsi="Times New Roman;Times;serif"/>
          <w:sz w:val="20"/>
        </w:rPr>
        <w:t xml:space="preserve"> In November 2024, we entered into the Novartis Agreement with Novartis related to our votoplam HD program. Upon the closing of the transaction contemplated by the Novartis Agreement in January 2025, we received an upfront payment of $1.0 billion on the effective date and are eligible to receive up to $1.9 billion in development, regulatory and sales milestones, a 40% share of U.S. profits and losses, and tiered double-digit royalties on ex-U.S. sales. During the three and six months ended June 30, 2026, we recognized $50.6 million and $50.7 million in license revenues, respectively, primarily related to a development milestone pursuant to our Novartis Agreement for Novartis’s initiation of the first Phase 3 clinical trial for a Licensed Product (as defined in the Novartis Agreement), which triggered a $50.0 million milestone payment to us. During the three and six months ended June 30, 2025, we recognized $2.9 million and $992.7 million in license revenues, respectively, related to performance obligations completed pursuant to the Novartis Agreement. Collaboration and license revenue during the three months ended June 30, 2025, was partially offset by $3.5 million related to a refund for a prior collaboration arrangement in relation to votoplam.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pStyle w:val="TextBody"/>
        <w:bidi w:val="0"/>
        <w:spacing w:before="0" w:after="240"/>
        <w:ind w:left="0" w:right="0" w:hanging="0"/>
        <w:jc w:val="both"/>
        <w:rPr/>
      </w:pPr>
      <w:r>
        <w:rPr/>
        <w:t>●</w:t>
      </w:r>
      <w:r>
        <w:rPr>
          <w:rFonts w:ascii="Times New Roman;Times;serif" w:hAnsi="Times New Roman;Times;serif"/>
          <w:sz w:val="20"/>
        </w:rPr>
        <w:t>external research and development expenses incurred under agreements with third-party contract research organizations and investigative sites, third-party manufacturing organizations and consultants;</w:t>
      </w:r>
    </w:p>
    <w:p>
      <w:pPr>
        <w:pStyle w:val="TextBody"/>
        <w:bidi w:val="0"/>
        <w:spacing w:before="0" w:after="240"/>
        <w:ind w:left="0" w:right="0" w:hanging="0"/>
        <w:jc w:val="both"/>
        <w:rPr/>
      </w:pPr>
      <w:r>
        <w:rPr/>
        <w:t>●</w:t>
      </w:r>
      <w:r>
        <w:rPr>
          <w:rFonts w:ascii="Times New Roman;Times;serif" w:hAnsi="Times New Roman;Times;serif"/>
          <w:sz w:val="20"/>
        </w:rPr>
        <w:t>employee-related expenses, which include salaries and benefits, including share-based compensation, for the personnel involved in our drug discovery and development activities; and</w:t>
      </w:r>
    </w:p>
    <w:p>
      <w:pPr>
        <w:pStyle w:val="TextBody"/>
        <w:bidi w:val="0"/>
        <w:ind w:left="0" w:right="0" w:hanging="0"/>
        <w:jc w:val="both"/>
        <w:rPr/>
      </w:pPr>
      <w:r>
        <w:rPr/>
        <w:t>●</w:t>
      </w:r>
      <w:r>
        <w:rPr>
          <w:rFonts w:ascii="Times New Roman;Times;serif" w:hAnsi="Times New Roman;Times;serif"/>
          <w:sz w:val="20"/>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our employee and infrastructure resources across multiple research projects, including our drug development programs. We track expenses related to our clinical programs and certain preclinical programs on a per project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research and development expenses to fluctuate in connection with our ongoing activities, particularly in connection with our activities under our splicing and inflammation and ferroptosis programs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candidate manufacturing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research and development expense for our most advanced principal product development programs, for the three and six months ended June 30, 2026 and 2025.</w:t>
      </w:r>
    </w:p>
    <w:p>
      <w:pPr>
        <w:pStyle w:val="TextBody"/>
        <w:bidi w:val="0"/>
        <w:spacing w:before="0" w:after="240"/>
        <w:ind w:left="0" w:right="0" w:hanging="0"/>
        <w:jc w:val="both"/>
        <w:rPr/>
      </w:pPr>
      <w:r>
        <w:rPr/>
        <w:t>​</w:t>
      </w:r>
    </w:p>
    <w:tbl>
      <w:tblPr>
        <w:tblW w:w="7296" w:type="dxa"/>
        <w:jc w:val="left"/>
        <w:tblInd w:w="0" w:type="dxa"/>
        <w:tblLayout w:type="fixed"/>
        <w:tblCellMar>
          <w:top w:w="0" w:type="dxa"/>
          <w:left w:w="0" w:type="dxa"/>
          <w:bottom w:w="0" w:type="dxa"/>
          <w:right w:w="0" w:type="dxa"/>
        </w:tblCellMar>
      </w:tblPr>
      <w:tblGrid>
        <w:gridCol w:w="4486"/>
        <w:gridCol w:w="346"/>
        <w:gridCol w:w="219"/>
        <w:gridCol w:w="702"/>
        <w:gridCol w:w="359"/>
        <w:gridCol w:w="219"/>
        <w:gridCol w:w="811"/>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848610" cy="175260"/>
                      <wp:effectExtent l="0" t="0" r="0" b="0"/>
                      <wp:wrapNone/>
                      <wp:docPr id="547" name="Frame54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9065" cy="175260"/>
                      <wp:effectExtent l="0" t="0" r="0" b="0"/>
                      <wp:wrapNone/>
                      <wp:docPr id="549" name="Frame54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45770" cy="175260"/>
                      <wp:effectExtent l="0" t="0" r="0" b="0"/>
                      <wp:wrapNone/>
                      <wp:docPr id="550" name="Frame55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27965" cy="175260"/>
                      <wp:effectExtent l="0" t="0" r="0" b="0"/>
                      <wp:wrapNone/>
                      <wp:docPr id="551" name="Frame551"/>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9065" cy="175260"/>
                      <wp:effectExtent l="0" t="0" r="0" b="0"/>
                      <wp:wrapNone/>
                      <wp:docPr id="552" name="Frame55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14985" cy="175260"/>
                      <wp:effectExtent l="0" t="0" r="0" b="0"/>
                      <wp:wrapNone/>
                      <wp:docPr id="553" name="Frame55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97790" cy="175260"/>
                      <wp:effectExtent l="0" t="0" r="0" b="0"/>
                      <wp:wrapNone/>
                      <wp:docPr id="554" name="Frame5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9" w:type="dxa"/>
            <w:tcBorders/>
            <w:vAlign w:val="center"/>
          </w:tcPr>
          <w:p>
            <w:pPr>
              <w:pStyle w:val="TableContents"/>
              <w:bidi w:val="0"/>
              <w:spacing w:before="0" w:after="0"/>
              <w:ind w:left="0" w:right="0" w:hanging="0"/>
              <w:jc w:val="left"/>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729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Sephience</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22,078</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Inflammation &amp; Ferroptosis platform</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5,571</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9,186</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DMD</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Therapy</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development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Development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31,030</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51,150</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18,331</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share-based stock compensation</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40,096</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36,995</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other indirect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9,693</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99,150</w:t>
            </w:r>
          </w:p>
        </w:tc>
        <w:tc>
          <w:tcPr>
            <w:tcW w:w="35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112,990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279" w:type="dxa"/>
        <w:jc w:val="left"/>
        <w:tblInd w:w="0" w:type="dxa"/>
        <w:tblLayout w:type="fixed"/>
        <w:tblCellMar>
          <w:top w:w="0" w:type="dxa"/>
          <w:left w:w="0" w:type="dxa"/>
          <w:bottom w:w="0" w:type="dxa"/>
          <w:right w:w="0" w:type="dxa"/>
        </w:tblCellMar>
      </w:tblPr>
      <w:tblGrid>
        <w:gridCol w:w="4486"/>
        <w:gridCol w:w="346"/>
        <w:gridCol w:w="211"/>
        <w:gridCol w:w="781"/>
        <w:gridCol w:w="346"/>
        <w:gridCol w:w="211"/>
        <w:gridCol w:w="898"/>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848610" cy="175260"/>
                      <wp:effectExtent l="0" t="0" r="0" b="0"/>
                      <wp:wrapNone/>
                      <wp:docPr id="555" name="Frame555"/>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95935" cy="175260"/>
                      <wp:effectExtent l="0" t="0" r="0" b="0"/>
                      <wp:wrapNone/>
                      <wp:docPr id="558" name="Frame5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3985" cy="175260"/>
                      <wp:effectExtent l="0" t="0" r="0" b="0"/>
                      <wp:wrapNone/>
                      <wp:docPr id="560" name="Frame5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70230" cy="175260"/>
                      <wp:effectExtent l="0" t="0" r="0" b="0"/>
                      <wp:wrapNone/>
                      <wp:docPr id="561" name="Frame56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7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Sephience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Inflammation &amp; Ferroptosis platform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DMD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Therapy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8,246</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development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98,999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share-based stock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75,229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other indirect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221,963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77" w:name="_Hlk164336913"/>
      <w:bookmarkEnd w:id="2077"/>
      <w:r>
        <w:rPr>
          <w:rFonts w:ascii="Times New Roman;Times;serif" w:hAnsi="Times New Roman;Times;serif"/>
          <w:b/>
          <w:sz w:val="20"/>
        </w:rPr>
        <w:t>Development.</w:t>
      </w:r>
      <w:r>
        <w:rPr>
          <w:rFonts w:ascii="Times New Roman;Times;serif" w:hAnsi="Times New Roman;Times;serif"/>
          <w:sz w:val="20"/>
        </w:rPr>
        <w:t xml:space="preserve"> Consists of costs incurred for product candidates following initiation of a clinical trial.</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compared to the three and six months ended June 30, 2025, the changes reflect progressing through different phases of studies as we continue to focus our resources on our differentiated, high potential research and development programs. The decrease is primarily due to a decrease in costs relating to Global DMD, Gene Therapy, Splicing platform, Inflammation &amp; Ferroptosis platform, and Sephience related development.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Research.</w:t>
      </w:r>
      <w:r>
        <w:rPr>
          <w:rFonts w:ascii="Times New Roman;Times;serif" w:hAnsi="Times New Roman;Times;serif"/>
          <w:sz w:val="20"/>
        </w:rPr>
        <w:t xml:space="preserve"> Consists of costs incurred for product candidates before initiation of a clinical trial.</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compared to the three and six months ended June 30, 2025, the increase in research expenses primarily related to</w:t>
      </w:r>
      <w:r>
        <w:rPr>
          <w:rFonts w:ascii="Times New Roman;Times;serif" w:hAnsi="Times New Roman;Times;serif"/>
          <w:color w:val="212529"/>
          <w:sz w:val="20"/>
          <w:shd w:fill="FFFFFF" w:val="clear"/>
        </w:rPr>
        <w:t> increased investment in research programs and advancement of the clinical pipeline.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Payroll, benefits, and share-based stock compensation.</w:t>
      </w:r>
      <w:r>
        <w:rPr>
          <w:rFonts w:ascii="Times New Roman;Times;serif" w:hAnsi="Times New Roman;Times;serif"/>
          <w:sz w:val="20"/>
        </w:rPr>
        <w:t xml:space="preserve"> Consists of costs incurred for salaries and wages, bonus, payroll taxes, benefits and share-based stock compensation associated with employees involved in research and development activities. Share-based stock compensation may fluctuate from period to period based on factors that are not within our control, such as our stock price on the dates share-based grants are issued. </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compared to the three and six months ended June 30, 2025, the increase in payroll, benefits, and share-based stock compensation expenses primarily related to an increase in share-based stock compensation, and increases in salaries due to annual merit increases for the three and six months ended June 30, 2026 compared to the three and six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Facilities and other indirect costs.</w:t>
      </w:r>
      <w:r>
        <w:rPr>
          <w:rFonts w:ascii="Times New Roman;Times;serif" w:hAnsi="Times New Roman;Times;serif"/>
          <w:sz w:val="20"/>
        </w:rPr>
        <w:t xml:space="preserve"> Consists of indirect costs incurred for the benefit of multiple programs, including information technology, and other facility-based expenses, such as rent expense. </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compared to the three months ended June 30, 2025, the change in facilities and other indirect costs was relatively flat. For the six months ended June 30, 2026, compared to the six months ended June 30, 2025, the change in facilities and other indirect costs was related to new leases that commenced in the second half of 2025.</w:t>
      </w:r>
    </w:p>
    <w:p>
      <w:pPr>
        <w:pStyle w:val="TextBody"/>
        <w:bidi w:val="0"/>
        <w:spacing w:before="100" w:after="10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successful development of our products and product candidates is highly uncertain. This is due to the numerous risks and uncertainties associated with developing drugs, including the uncertainty of:</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clinical trials and other research and development activities;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products and product candidates over other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market, commercialize and achieve market acceptance for any of our products or product candidates that we are developing or may develop in the future, including our ability to negotiate pricing and reimbursement terms acceptable to us;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results;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regulatory approvals; and</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patent claims and other intellectual property rights.</w:t>
            </w:r>
          </w:p>
        </w:tc>
      </w:tr>
    </w:tbl>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 change in the outcome of any of these variables with respect to the development of our products or product candidates could mean a significant change in the costs and timing associated with the development of those products or product candidates. For example, if the EMA or the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 net consists of interest expense from the liability for the sale of future royalties related to the A&amp;R Royalty Purchase Agreement, the 2026 Convertible Notes outstanding, and the 2031 Convertible Notes outstanding, partially offset by interest income earned on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r>
        <w:rPr>
          <w:rFonts w:ascii="Times New Roman;Times;serif" w:hAnsi="Times New Roman;Times;serif"/>
          <w:b/>
          <w:sz w:val="20"/>
        </w:rPr>
        <w:br/>
        <w:t>Critical accounting policies and significant judgments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there were no material changes to our critical accounting policies as reported in our 2025 Annual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2026 compared to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revenues and selected expense and other income data for the three months ended June 30, 2026 and 2025.</w:t>
      </w:r>
    </w:p>
    <w:tbl>
      <w:tblPr>
        <w:tblW w:w="10205" w:type="dxa"/>
        <w:jc w:val="left"/>
        <w:tblInd w:w="0" w:type="dxa"/>
        <w:tblLayout w:type="fixed"/>
        <w:tblCellMar>
          <w:top w:w="0" w:type="dxa"/>
          <w:left w:w="0" w:type="dxa"/>
          <w:bottom w:w="0" w:type="dxa"/>
          <w:right w:w="0" w:type="dxa"/>
        </w:tblCellMar>
      </w:tblPr>
      <w:tblGrid>
        <w:gridCol w:w="6045"/>
        <w:gridCol w:w="346"/>
        <w:gridCol w:w="211"/>
        <w:gridCol w:w="791"/>
        <w:gridCol w:w="346"/>
        <w:gridCol w:w="211"/>
        <w:gridCol w:w="791"/>
        <w:gridCol w:w="346"/>
        <w:gridCol w:w="224"/>
        <w:gridCol w:w="894"/>
      </w:tblGrid>
      <w:tr>
        <w:trPr/>
        <w:tc>
          <w:tcPr>
            <w:tcW w:w="6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3838575" cy="175260"/>
                      <wp:effectExtent l="0" t="0" r="0" b="0"/>
                      <wp:wrapNone/>
                      <wp:docPr id="562" name="Frame562"/>
                      <a:graphic xmlns:a="http://schemas.openxmlformats.org/drawingml/2006/main">
                        <a:graphicData uri="http://schemas.microsoft.com/office/word/2010/wordprocessingShape">
                          <wps:wsp>
                            <wps:cNvSpPr txBox="1"/>
                            <wps:spPr>
                              <a:xfrm>
                                <a:off x="0" y="0"/>
                                <a:ext cx="3838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3"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4"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02285" cy="175260"/>
                      <wp:effectExtent l="0" t="0" r="0" b="0"/>
                      <wp:wrapNone/>
                      <wp:docPr id="565" name="Frame56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6"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3985" cy="175260"/>
                      <wp:effectExtent l="0" t="0" r="0" b="0"/>
                      <wp:wrapNone/>
                      <wp:docPr id="567" name="Frame5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02285" cy="175260"/>
                      <wp:effectExtent l="0" t="0" r="0" b="0"/>
                      <wp:wrapNone/>
                      <wp:docPr id="568" name="Frame56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42240" cy="175260"/>
                      <wp:effectExtent l="0" t="0" r="0" b="0"/>
                      <wp:wrapNone/>
                      <wp:docPr id="570" name="Frame57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67690" cy="175260"/>
                      <wp:effectExtent l="0" t="0" r="0" b="0"/>
                      <wp:wrapNone/>
                      <wp:docPr id="571" name="Frame571"/>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left"/>
              <w:rPr/>
            </w:pPr>
            <w:r>
              <w:rPr/>
              <w:t>​</w:t>
            </w:r>
          </w:p>
        </w:tc>
      </w:tr>
      <w:tr>
        <w:trPr/>
        <w:tc>
          <w:tcPr>
            <w:tcW w:w="6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0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118,329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120,490</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47,654</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57,605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collaboration and license sales, excluding amortization of acquired 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11,420</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8,501</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4,061</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7,780</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112,990</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(13,840)</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85,262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(4,632)</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Tangible asset impairment and losses on transactions,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(18,123)</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2078" w:name="_Hlk65826948"/>
      <w:bookmarkEnd w:id="2078"/>
      <w:r>
        <w:rPr>
          <w:rFonts w:ascii="Times New Roman;Times;serif" w:hAnsi="Times New Roman;Times;serif"/>
          <w:i/>
          <w:sz w:val="20"/>
        </w:rPr>
        <w:t>Net product revenue.</w:t>
      </w:r>
      <w:r>
        <w:rPr>
          <w:rFonts w:ascii="Times New Roman;Times;serif" w:hAnsi="Times New Roman;Times;serif"/>
          <w:sz w:val="20"/>
        </w:rPr>
        <w:t xml:space="preserve"> Net product revenue was $238.8 million for the three months ended June 30, 2026, an increase of $120.5 million, or over 100%, from $118.3 million for the three months ended June 30, 2025. The increase in net product revenue was primarily due to an increase in net product sales of $151.3 million for Sephience, which is in the first year of its launch, partially offset by a decrease in net product sales of $11.7 million for Emflaza and $17.3 million for Translarna. The decrease in Emflaza sales is primarily driven by additional generic competition. The decrease in Translarna sales is primarily due to the EC’s adoption of the CHMP’s negative opinion.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Collaboration and license revenue</w:t>
      </w:r>
      <w:r>
        <w:rPr>
          <w:rFonts w:ascii="Times New Roman;Times;serif" w:hAnsi="Times New Roman;Times;serif"/>
          <w:i/>
          <w:color w:val="212529"/>
          <w:sz w:val="20"/>
          <w:shd w:fill="FFFFFF" w:val="clear"/>
        </w:rPr>
        <w:t>.</w:t>
      </w:r>
      <w:r>
        <w:rPr>
          <w:rFonts w:ascii="Times New Roman;Times;serif" w:hAnsi="Times New Roman;Times;serif"/>
          <w:color w:val="212529"/>
          <w:sz w:val="20"/>
          <w:shd w:fill="FFFFFF" w:val="clear"/>
        </w:rPr>
        <w:t> </w:t>
      </w:r>
      <w:r>
        <w:rPr>
          <w:rFonts w:ascii="Times New Roman;Times;serif" w:hAnsi="Times New Roman;Times;serif"/>
          <w:sz w:val="20"/>
        </w:rPr>
        <w:t xml:space="preserve">Collaboration and license revenue was $50.6 million for the three months ended June 30, 2026, an increase of $47.7 million, or over 100%, from $2.9 million for the three months ended June 30, 2025. For the three months ended June 30, 2026, we recognized $50.6 million, primarily related to a development milestone. In April 2026, Novartis notified the Company that it had initiated the first Phase 3 clinical trial for a Licensed Product (as defined in the Novartis Agreement). Pursuant to the Novartis Agreement, this triggered a $50.0 million milestone payment to us. </w:t>
      </w:r>
      <w:r>
        <w:rPr>
          <w:rFonts w:ascii="Times New Roman;Times;serif" w:hAnsi="Times New Roman;Times;serif"/>
          <w:sz w:val="20"/>
          <w:shd w:fill="FFFFFF" w:val="clear"/>
        </w:rPr>
        <w:t>For the three months ended June 30, 2025, we recognized $2.9 million related to license revenue from the Novartis Agreement for performance obligations completed during the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Royalty revenue. </w:t>
      </w:r>
      <w:r>
        <w:rPr>
          <w:rFonts w:ascii="Times New Roman;Times;serif" w:hAnsi="Times New Roman;Times;serif"/>
          <w:sz w:val="20"/>
        </w:rPr>
        <w:t xml:space="preserve">Royalty revenue was $71.1 million for the three months ended June 30, 2026, an increase of $13.5 million, or 23%, from $57.6 million for the three months ended June 30, 2025. The increase in royalty revenue was due to higher Evrysdi sales in the three months ended June 30, 2026 as compared to the three months ended June 30, 2025.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accordance with the SMA License Agreement, we are entitled to recognize royalties on worldwide annual net sales of the product. See “Item 2. Management’s Discussion and Analysis of Financial Condition and Results of Operations—Overview—Corporate Updates—Funding.”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Cost of product, collaboration and license sales, excluding amortization of acquired intangible assets</w:t>
      </w:r>
      <w:r>
        <w:rPr>
          <w:rFonts w:ascii="Times New Roman;Times;serif" w:hAnsi="Times New Roman;Times;serif"/>
          <w:sz w:val="20"/>
        </w:rPr>
        <w:t xml:space="preserve">. Cost of product, collaboration and license sales, excluding amortization of acquired intangible assets was $19.9 million for the three months ended June 30, 2026, an increase of $8.5 million, or 74%, from $11.4 million for the three months ended June 30, 2025. Cost of product, collaboration and license sales, excluding amortization of acquired intangible assets consists primarily of the costs associated with the Novartis agreement, royalty payments associated with Sephience and Upstaza/Kebilidi net product sales, costs associated with Sephience, Translarna, Upstaza/Kebilidi, and Emflaza product sold during the period, as well as the production costs associated with these products. The increase was primarily driven by the increase in net product sales, which impacted the cost for products sold and royalty expense for the period.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Amortization of acquired intangible assets</w:t>
      </w:r>
      <w:r>
        <w:rPr>
          <w:rFonts w:ascii="Times New Roman;Times;serif" w:hAnsi="Times New Roman;Times;serif"/>
          <w:sz w:val="20"/>
        </w:rPr>
        <w:t xml:space="preserve">. Amortization of acquired intangible assets was $11.8 million for the three months ended June 30, 2026, an increase of $7.8 million, or over 100%, from $4.1 million for the three months ended June 30, 2025. The increase to the intangible assets balance was primarily related to Upstaza/Kebildi and Sephience intangible assets recorded as a result of the regulatory approvals and net sales milestones as well as the Censa Rights Satisfaction Agreement, which increased the corresponding amortization for those assets.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was $99.2 million for the three months ended June 30, 2026, a decrease of $13.8 million, or 12%, from $113.0 million for the three months ended June 30, 2025. The decrease in research and development expenses primarily</w:t>
      </w:r>
      <w:r>
        <w:rPr>
          <w:rFonts w:ascii="Times New Roman;Times;serif" w:hAnsi="Times New Roman;Times;serif"/>
          <w:sz w:val="20"/>
          <w:shd w:fill="FFFFFF" w:val="clear"/>
        </w:rPr>
        <w:t> related to decreases in development program spend as we continued to focus our resources on our differentiated, high potential research and development programs.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expense was $80.6 million for the three months ended June 30, 2026, a decrease of $4.6 million, or 5%, from $85.3 million for the three months ended June 30, 2025.</w:t>
      </w:r>
      <w:r>
        <w:rPr>
          <w:rFonts w:ascii="Times New Roman;Times;serif" w:hAnsi="Times New Roman;Times;serif"/>
          <w:sz w:val="20"/>
          <w:shd w:fill="FFFFFF" w:val="clear"/>
        </w:rPr>
        <w:t xml:space="preserve"> The decrease is primarily due to a decrease in selling expenses related to prelaunch activities for Sephience.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2079" w:name="_Hlk181012346"/>
      <w:bookmarkStart w:id="2080" w:name="_Hlk102393066"/>
      <w:bookmarkEnd w:id="2079"/>
      <w:bookmarkEnd w:id="2080"/>
      <w:r>
        <w:rPr>
          <w:rFonts w:ascii="Times New Roman;Times;serif" w:hAnsi="Times New Roman;Times;serif"/>
          <w:i/>
          <w:sz w:val="20"/>
        </w:rPr>
        <w:t xml:space="preserve">Tangible asset impairment and losses on transactions, net. </w:t>
      </w:r>
      <w:r>
        <w:rPr>
          <w:rFonts w:ascii="Times New Roman;Times;serif" w:hAnsi="Times New Roman;Times;serif"/>
          <w:sz w:val="20"/>
        </w:rPr>
        <w:t>Tangible asset impairment and losses on transactions, net decreased $0.1 million, or 100%, from $0.1 million for the three months ended June 30, 2025. The decrease in tangible asset impairment and losses on transactions primarily related to no impairments and gains or losses during the three months ended June 30, 2026 as compared to $0.1 million related to fixed asset impairments in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expense, net. </w:t>
      </w:r>
      <w:r>
        <w:rPr>
          <w:rFonts w:ascii="Times New Roman;Times;serif" w:hAnsi="Times New Roman;Times;serif"/>
          <w:sz w:val="20"/>
        </w:rPr>
        <w:t>Interest expense, net was $48.5 million for the three months ended June 30, 2026, an increase of $18.1 million, or 60%, from $30.4 million for the three months ended June 30, 2025. The increase in interest expense, net was primarily due to an increase in interest expense related to the liability for the sale of future royalties related to the A&amp;R Royalty Purchase Agreement.</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bookmarkStart w:id="2081" w:name="_Hlk140501301"/>
      <w:bookmarkStart w:id="2082" w:name="_Hlk129169286"/>
      <w:bookmarkStart w:id="2083" w:name="_Hlk132630610"/>
      <w:bookmarkEnd w:id="2081"/>
      <w:bookmarkEnd w:id="2082"/>
      <w:bookmarkEnd w:id="2083"/>
      <w:r>
        <w:rPr>
          <w:rFonts w:ascii="Times New Roman;Times;serif" w:hAnsi="Times New Roman;Times;serif"/>
          <w:i/>
          <w:sz w:val="20"/>
        </w:rPr>
        <w:t>Other expense, net</w:t>
      </w:r>
      <w:r>
        <w:rPr>
          <w:rFonts w:ascii="Times New Roman;Times;serif" w:hAnsi="Times New Roman;Times;serif"/>
          <w:sz w:val="20"/>
        </w:rPr>
        <w:t>. Other expense, net was $3.0 million for the three months ended June 30, 2026, a decrease of $2.8 million, or 49%, from other expense, net of $5.7 million for the three months ended June 30, 2025. The decrease in other expense, net, primarily relates to net realized and unrealized gains from foreign currency of $0.4 million for the three months ended June 30, 2026, compared to net realized and unrealized losses from foreign currency of $8.7 million for the three months ended June 30, 2025. This decrease was partially offset by an inducement expense of $3.4 million related to the repurchase of a portion of the 2026 Convertible Notes and other items of $2.8 million.</w:t>
      </w:r>
    </w:p>
    <w:p>
      <w:pPr>
        <w:pStyle w:val="TextBody"/>
        <w:pBdr/>
        <w:bidi w:val="0"/>
        <w:spacing w:before="0" w:after="0"/>
        <w:ind w:left="0" w:right="0" w:hanging="0"/>
        <w:jc w:val="both"/>
        <w:rPr>
          <w:rFonts w:ascii="Times New Roman;Times;serif" w:hAnsi="Times New Roman;Times;serif"/>
          <w:sz w:val="20"/>
        </w:rPr>
      </w:pPr>
      <w:bookmarkStart w:id="2084" w:name="_Hlk172617727"/>
      <w:bookmarkEnd w:id="2084"/>
      <w:r>
        <w:rPr>
          <w:rFonts w:ascii="Times New Roman;Times;serif" w:hAnsi="Times New Roman;Times;serif"/>
          <w:i/>
          <w:sz w:val="20"/>
        </w:rPr>
        <w:t>Income tax (expense) benefit.</w:t>
      </w:r>
      <w:r>
        <w:rPr>
          <w:rFonts w:ascii="Times New Roman;Times;serif" w:hAnsi="Times New Roman;Times;serif"/>
          <w:sz w:val="20"/>
        </w:rPr>
        <w:t xml:space="preserve"> Income tax expense was $14.0 million for the three months ended June 30, 2026, a change of $20.3 million, or over 100%, compared to income tax benefit of $6.2 million for the three months ended June 30, 2025. The change in income tax (expense) benefit was driven by the recognition of revenue associated with the A&amp;R Royalty Purchase Agreement. </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Six months ended June 30, 2026 compared to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revenues and selected expense and other income data for the six months ended June 30, 2026 and 2025.</w:t>
      </w:r>
    </w:p>
    <w:tbl>
      <w:tblPr>
        <w:tblW w:w="10205" w:type="dxa"/>
        <w:jc w:val="left"/>
        <w:tblInd w:w="0" w:type="dxa"/>
        <w:tblLayout w:type="fixed"/>
        <w:tblCellMar>
          <w:top w:w="0" w:type="dxa"/>
          <w:left w:w="0" w:type="dxa"/>
          <w:bottom w:w="0" w:type="dxa"/>
          <w:right w:w="0" w:type="dxa"/>
        </w:tblCellMar>
      </w:tblPr>
      <w:tblGrid>
        <w:gridCol w:w="6025"/>
        <w:gridCol w:w="346"/>
        <w:gridCol w:w="211"/>
        <w:gridCol w:w="791"/>
        <w:gridCol w:w="346"/>
        <w:gridCol w:w="211"/>
        <w:gridCol w:w="791"/>
        <w:gridCol w:w="346"/>
        <w:gridCol w:w="211"/>
        <w:gridCol w:w="927"/>
      </w:tblGrid>
      <w:tr>
        <w:trPr/>
        <w:tc>
          <w:tcPr>
            <w:tcW w:w="6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825875" cy="175260"/>
                      <wp:effectExtent l="0" t="0" r="0" b="0"/>
                      <wp:wrapNone/>
                      <wp:docPr id="572" name="Frame572"/>
                      <a:graphic xmlns:a="http://schemas.openxmlformats.org/drawingml/2006/main">
                        <a:graphicData uri="http://schemas.microsoft.com/office/word/2010/wordprocessingShape">
                          <wps:wsp>
                            <wps:cNvSpPr txBox="1"/>
                            <wps:spPr>
                              <a:xfrm>
                                <a:off x="0" y="0"/>
                                <a:ext cx="3825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02285" cy="175260"/>
                      <wp:effectExtent l="0" t="0" r="0" b="0"/>
                      <wp:wrapNone/>
                      <wp:docPr id="575" name="Frame57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02285" cy="175260"/>
                      <wp:effectExtent l="0" t="0" r="0" b="0"/>
                      <wp:wrapNone/>
                      <wp:docPr id="578" name="Frame57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588645" cy="175260"/>
                      <wp:effectExtent l="0" t="0" r="0" b="0"/>
                      <wp:wrapNone/>
                      <wp:docPr id="581" name="Frame58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r>
      <w:tr>
        <w:trPr/>
        <w:tc>
          <w:tcPr>
            <w:tcW w:w="60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0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192,637</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989,172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(938,434)</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Royalty revenue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23,896</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collaboration and license sales, excluding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23,667</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15,563</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(21,940)</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asset impairment and losses on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(33,061)</w:t>
            </w:r>
          </w:p>
        </w:tc>
      </w:tr>
      <w:tr>
        <w:trPr/>
        <w:tc>
          <w:tcPr>
            <w:tcW w:w="6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w:t>
            </w:r>
          </w:p>
        </w:tc>
      </w:tr>
      <w:tr>
        <w:trPr/>
        <w:tc>
          <w:tcPr>
            <w:tcW w:w="6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42,667</w:t>
            </w:r>
          </w:p>
        </w:tc>
      </w:tr>
    </w:tbl>
    <w:p>
      <w:pPr>
        <w:pStyle w:val="TextBody"/>
        <w:shd w:fill="FFFFFF" w:val="clear"/>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Net product revenue. </w:t>
      </w:r>
      <w:r>
        <w:rPr>
          <w:rFonts w:ascii="Times New Roman;Times;serif" w:hAnsi="Times New Roman;Times;serif"/>
          <w:sz w:val="20"/>
        </w:rPr>
        <w:t>Net product revenue was $464.4 million for the six months ended June 30, 2026, an increase of $192.6 million, or 71%, from $271.8 million for the six months ended June 30, 2025. The increase in net product revenue was primarily due to an increase in net product sales of $275.9 million for Sephience, which is in the first year of its launch, partially offset by a decrease in net product sales of $38.0 million for Emflaza and $44.4 million for Translarna. The decrease in Emflaza sales is primarily driven by additional generic competition. The decrease in Translarna sales is primarily due to the EC’s adoption of the CHMP’s negative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Collaboration and license revenue. </w:t>
      </w:r>
      <w:r>
        <w:rPr>
          <w:rFonts w:ascii="Times New Roman;Times;serif" w:hAnsi="Times New Roman;Times;serif"/>
          <w:sz w:val="20"/>
        </w:rPr>
        <w:t xml:space="preserve">Collaboration and license revenue was $50.7 million for the six months ended June 30, 2026, a decrease of $938.4 million, or 95%, from $989.2 million for the six months ended June 30, 2025. The decrease in collaboration and license revenue was due to the receipt of the $1.0 billion upfront payment upon the effective date of the license and collaboration agreement with Novartis related to our votoplam HD program for the six months ended June 30, 2025. For the six months ended June 30, 2026, we recognized $50.7 million primarily related to a development milestone pursuant to our Novartis Agreement for Novartis’s initiation of the first Phase 3 clinical trial for a Licensed Product (as defined in the Novartis Agreement), which triggered a $50.0 million milestone payment to us. For the six months ended June 30, 2025, </w:t>
      </w:r>
      <w:r>
        <w:rPr>
          <w:rFonts w:ascii="Times New Roman;Times;serif" w:hAnsi="Times New Roman;Times;serif"/>
          <w:sz w:val="20"/>
          <w:shd w:fill="FFFFFF" w:val="clear"/>
        </w:rPr>
        <w:t>we recognized $992.7 million related to license revenue from the Novartis Agreement which was partially offset by $3.5 million related to a refund for a prior collaboration arrangement in relation to votoplam.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Royalty revenue.</w:t>
      </w:r>
      <w:r>
        <w:rPr>
          <w:rFonts w:ascii="Times New Roman;Times;serif" w:hAnsi="Times New Roman;Times;serif"/>
          <w:sz w:val="20"/>
        </w:rPr>
        <w:t xml:space="preserve"> Royalty revenue was $117.9 million for the six months ended June 30, 2026, an increase of $23.9 million, or 25%, from $94.0 million for the six months ended June 30, 2025. The increase in royalty revenue was due to higher Evrysdi sales in the six months ended June 30, 2026 as compared to the six months ended June 30, 2025. In accordance with the SMA License Agreement, we are entitled to recognize royalties on worldwide annual net sales of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Cost of product, collaboration and license sales, excluding amortization of acquired intangible assets.</w:t>
      </w:r>
      <w:r>
        <w:rPr>
          <w:rFonts w:ascii="Times New Roman;Times;serif" w:hAnsi="Times New Roman;Times;serif"/>
          <w:sz w:val="20"/>
        </w:rPr>
        <w:t xml:space="preserve"> Cost of product, collaboration and license sales, excluding amortization of acquired intangible assets was $47.9 million for the six months ended June 30, 2026, an increase of $23.7 million, or 97%, from $24.3 million for the six months ended June 30, 2025. Cost of product, collaboration and license sales, excluding amortization of acquired intangible assets consists primarily of the costs associated with the Novartis agreement, royalty payments associated with Sephience and Upstaza/Kebilidi net product sales, costs associated with Sephience, Translarna, Upstaza/Kebilidi, and Emflaza product sold during the period, as well as the production costs associated with these products. The increase was primarily driven by the increase in net product sales, which impacted the cost for products sold and royalty expense for the period.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Amortization of acquired intangible assets. </w:t>
      </w:r>
      <w:r>
        <w:rPr>
          <w:rFonts w:ascii="Times New Roman;Times;serif" w:hAnsi="Times New Roman;Times;serif"/>
          <w:sz w:val="20"/>
        </w:rPr>
        <w:t xml:space="preserve">Amortization of acquired intangible assets was $23.4 million for the six months ended June 30, 2026 an increase of $15.6 million, or over 100%, from $7.9 million for the six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to the intangible assets balance was primarily related to Upstaza/Kebildi and Sephience intangible assets recorded as a result of the regulatory approvals and net sales milestones as well as the Censa Rights Satisfaction Agreement, which increased the corresponding amortization for those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was $200.0 million for the six months ended June 30, 2026, a decrease of $21.9 million, or 10%, from $222.0 million for the six months ended June 30, 2025. The decrease in research and development expenses related to decreases in development program spend as we continued to focus our resources on our differentiated, high potential research and development programs.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expense was $166.8 million for the six months ended June 30, 2026, an increase of $0.6 million, or 0%, from $166.2 million for the six months ended June 30, 2025. The increase reflected our continued investment to support our commercial activities including our expanding commercial portfolio.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Change in the fair value of contingent consideration.</w:t>
      </w:r>
      <w:r>
        <w:rPr>
          <w:rFonts w:ascii="Times New Roman;Times;serif" w:hAnsi="Times New Roman;Times;serif"/>
          <w:sz w:val="20"/>
        </w:rPr>
        <w:t xml:space="preserve"> There was no change in the fair value of contingent consideration for the six months ended June 30, 2026, a change of $0.8 million, or 100%, from a gain of $0.8 million for the six months ended June 30, 2025. During the first quarter of 2025, the probability of triggering the remaining contingent consideration was determined to be remote, and therefore the balance was written down to zero.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Tangible asset impairment and losses on transactions, net.</w:t>
      </w:r>
      <w:r>
        <w:rPr>
          <w:rFonts w:ascii="Times New Roman;Times;serif" w:hAnsi="Times New Roman;Times;serif"/>
          <w:sz w:val="20"/>
        </w:rPr>
        <w:t xml:space="preserve"> Tangible asset impairment and losses on transactions, net was $0.9 million for the six months ended June 30, 2026, an increase of $0.8 million, or over 100%, from $0.2 million for the six months ended June 30, 2025. The increase was primarily driven by a $0.8 million loss related to inventory impairments during the six months ended June 30, 2026. During the six months ended June 30, 2025, we recorded $0.1 million related to fixed asset impairments and $0.1 million related to losses on the sale of fixed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Interest expense, net was $97.5 million for the six months ended June 30, 2026, an increase of $33.1 million, or 51%, from $64.5 million for the six months ended June 30, 2025. The increase in interest expense, net was primarily due to an increase in interest expense related to the liability for the sale of future royalties related to the A&amp;R Royalty Purchase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Other expense, net.</w:t>
      </w:r>
      <w:r>
        <w:rPr>
          <w:rFonts w:ascii="Times New Roman;Times;serif" w:hAnsi="Times New Roman;Times;serif"/>
          <w:sz w:val="20"/>
        </w:rPr>
        <w:t xml:space="preserve"> Other expense, net was $1.3 million for the six months ended June 30, 2026, a decrease of $10.7 million, or 89%, from other expense, net of $12.0 million for the six months ended June 30, 2025. The decrease in other expense, net, primarily relates to net realized and unrealized gains from foreign currency of $1.8 million for the six months ended June 30, 2026, compared to net realized and unrealized losses from foreign currency of $15.0 million for the six months ended June 30, 2025. This decrease was partially offset by an inducement expense of $3.4 million related to the repurchase of a portion of the 2026 Convertible Notes and other items of $2.7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was $14.4 million for the six months ended June 30, 2026, a decrease of $42.7 million, or 75%, compared to income tax expense of $57.1 million for the six months ended June 30, 2025. The decrease in income tax expense was driven by the projected utilization of additional tax attributes in 2026 as a result of the provisions within the One Big Beautiful Bill Act.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val="false"/>
          <w:caps w:val="false"/>
          <w:smallCaps w:val="false"/>
          <w:sz w:val="20"/>
          <w:shd w:fill="FFFFFF" w:val="clear"/>
        </w:rPr>
        <w:t>Liquidity and capital resources</w:t>
      </w:r>
      <w:r>
        <w:rPr>
          <w:rFonts w:ascii="Times New Roman;Times;serif" w:hAnsi="Times New Roman;Times;serif"/>
          <w:b/>
          <w:i/>
          <w:caps w:val="false"/>
          <w:smallCaps w:val="false"/>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we have generated net income in the six months ended June 30, 2026 and 2025, we have historically incurred significant operating losses.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growing commercial-stage biopharmaceutical company, we are engaging in significant commercialization efforts for our products while also devoting a substantial portion of our efforts on research and development related to our products, product candidates and other programs. Our product revenue primarily consists of sales of Sephience for the treatment of PKU. Our product revenues also consist of sales of Translarna for the treatment of nmDMD in territories outside of the United States and from Emflaza for the treatment of DMD in the United States. Our ability to generate product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any of our products will largely depend on the coverage and reimbursement levels set by governmental authorities, private health insurers and other third-party payors, as the case may be, depending on the country in which our products are marketed, and the rate and degree of market acceptance and clinical utility of any of our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for Emflaza, its seven-year period of orphan drug exclusivity related to the treatment of DMD in patients five years and older expired in February 2024. With the expiration of this orphan drug exclusivity, we have seen an increase in competition from generics, which has, and we expect will continue to have, a negative impact on Emflaza net product revenue. Emflaza’s orphan drug exclusivity related to the treatment of DMD in patients two years of age to less than five expired in June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for Translarna, our ongoing ability to generate revenue from sales of Translarna for the treatment of nmDMD is dependent upon our ability to maintain our marketing authorizations in other geographies and secure market access through commercial programs following the conclusion of pricing and reimbursement terms at sustainable levels in the member states of the EEA or through EAP programs or similar styled programs in the EEA and other territories. While Translarna previously had conditional approval in the EEA, in March 2025, the EC adopted the negative opinion of the CHMP of the EMA to not renew the conditional marketing authorization of Translarna for the treatment of nmDMD. However, the EC indicated that individual countries within the EU can leverage Articles 117(3) and 5(1) of the EU Directive 2001/83 to allow continued commercial use of Translarna. There is a substantial risk that as a result of the EC’s adoption of the CHMP’s negative opinion we will lose a significant portion of our ability to generate revenue from sales of Translarna in the EEA. Additionally, the loss of the Translarna marketing authorization in the EEA and the withdrawal of the Translarna NDA in the United States may influence regulatory entities in other jurisdictions in which Translarna has been approved to reassess such approvals. There is substantial risk that we will be unable to maintain our marketing authorizations in these countries. Even in countries where our marketing authorization is maintained, there may be an impact on pricing and reimbursement of Translarna within those countries.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financed our operations to date primarily through private offerings of convertible senior notes, public and “at the market” offerings of common stock, proceeds from royalty purchase agreements,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areas addressed by our product candidates. We expect to continue to incur significant expenses for at least the next fiscal year. The net income and losses we incur may fluctuate significantly from quarter to quarter.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“Item 2. Management’s Discussion and Analysis of Financial Condition and Results of Operations—Overview—Corporate Updates — Funding” for additional information.</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have received fundings from Royalty Pharma under the A&amp;R Royalty Purchase Agreement in July 2020, October 2023, June 2024 and December 2025, totaling $2.1 billion. In exchange for these fundings, we sold Royalty Pharma 100% </w:t>
      </w:r>
      <w:r>
        <w:rPr>
          <w:rFonts w:ascii="Times New Roman;Times;serif" w:hAnsi="Times New Roman;Times;serif"/>
          <w:sz w:val="20"/>
        </w:rPr>
        <w:t>of our right to receive sales-based royalty payments on worldwide net sales of Roche’s Evrysdi</w:t>
      </w:r>
      <w:r>
        <w:rPr>
          <w:rFonts w:ascii="Times New Roman;Times;serif" w:hAnsi="Times New Roman;Times;serif"/>
          <w:i/>
          <w:sz w:val="20"/>
        </w:rPr>
        <w:t>®</w:t>
      </w:r>
      <w:r>
        <w:rPr>
          <w:rFonts w:ascii="Times New Roman;Times;serif" w:hAnsi="Times New Roman;Times;serif"/>
          <w:sz w:val="20"/>
        </w:rPr>
        <w:t> (risdiplam) product and any other product developed pursuant to the SMA collaboration with us, Roche, and the SMA Foundation.</w:t>
      </w:r>
    </w:p>
    <w:p>
      <w:pPr>
        <w:pStyle w:val="TextBody"/>
        <w:shd w:fill="FFFFFF" w:val="clear"/>
        <w:bidi w:val="0"/>
        <w:spacing w:before="0" w:after="240"/>
        <w:ind w:left="0" w:right="0" w:hanging="0"/>
        <w:jc w:val="both"/>
        <w:rPr>
          <w:rFonts w:ascii="Times New Roman;Times;serif" w:hAnsi="Times New Roman;Times;serif"/>
          <w:sz w:val="20"/>
        </w:rPr>
      </w:pPr>
      <w:bookmarkStart w:id="2085" w:name="_Hlk189574579"/>
      <w:bookmarkEnd w:id="2085"/>
      <w:r>
        <w:rPr>
          <w:rFonts w:ascii="Times New Roman;Times;serif" w:hAnsi="Times New Roman;Times;serif"/>
          <w:sz w:val="20"/>
        </w:rPr>
        <w:t>In November 2024, we and Novartis entered into the Novartis Agreement relating to our votoplam HD program which includes related molecules. Pursuant to the Novartis Agreement, we were responsible for conducting the Phase 2A clinical trial of votoplam, which is complete, and have transitioned sponsorship of the ongoing open-label extension clinical trial to Novartis. Novartis will be responsible for all other development of licensed compounds and licensed products and the manufacture and commercialization of licensed compounds and licensed products worldwide. Under the Novartis Agreement, and upon the closing of the transaction contemplated by the Novartis Agreement in January 2025, we received an upfront payment of $1.0 billion on the effective date and are eligible receive up to $1.9 billion in development, regulatory and sales milestones, a 40% share of U.S. profits and losses, and tiered double-digit royalties on ex-U.S. sales. In April 2026, Novartis notified us that it had initiated the first Phase 3 clinical trial for a Licensed Product (as defined in the Novartis Agreement), which, pursuant to the Novartis Agreement, triggered a $50.0 million milestone payment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we issued $287.5 million aggregate principal amount of 2026 Convertible Notes, which included an option to purchase up to an additional $37.5 million in aggregate principal amount of the 2026 Convertible Notes, which was exercised in full by the initial purchasers. We received net proceeds of $279.3 million after deducting the initial purchasers’ discounts and commissions and the offering expenses payable by us. The 2026 Convertible Notes bear cash interest at a rate of 1.50% per year, payable semi-annually on March 15 and September 15 of each year, beginning on March 15, 2020. The 2026 Convertible Notes will mature on September 15, 2026, unless earlier repurchased or converted. The 2026 Convertible Notes are currently convertible at the option of the holder.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 holder converted $10.0 million principal value of 2026 Convertible Notes in exchange for $12.9 million in cash and 3,506 shares of our common stock. We recorded a $10.0 million reduction to the carrying value of the convertible notes, and the excess of $2.9 million was recognized as a reduction in additional paid-in capital within our statement of stockholders’ deficit.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2026 we closed a private offering of $550.0 million aggregate principal amount of 0% convertible senior notes due 2031, which reflects the exercise in full by the initial purchasers of their option to purchase up to an additional $50.0 million in aggregate principal amount of the 2031 Convertible Notes. The 2031 Convertible Notes bear no regular interest and the principal amounts of the 2031 Convertible Notes will not accrete. The 2031 Convertible Notes may bear special interest under specified circumstances relating to our failure to comply with our reporting obligations under the 2031 Convertible Notes Indenture or if the 2031 Convertible Notes are not freely tradeable as required by the 2031 Convertible Notes Indenture. Special interest, if any, will be payable semiannually in arrears on June 15 and December 15 of each year, beginning on December 15, 2026 (if and to the extent that special interest is payable). The 2031 Convertible Notes will mature on June 15, 2031, unless earlier converted, redeemed or repurchased pursuant to their terms. We received net proceeds of approximately $535.4 million after deducting the initial purchasers’ discounts and commissions and the offering expenses payable by us.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issuance of the 2031 Convertible Notes, we used approximately $328.8 million of the net proceeds of the 2031 Convertible Notes to repurchase for cash $222.0 million aggregate principal amount of our 2026 Convertible Notes pursuant to privately negotiated transactions with certain holders entered into concurrently with the pricing of the offering of the 2031 Convertible Notes. After giving effect to the repurchases of the 2026 Convertible Notes, the aggregate principal amount outstanding of 2026 Convertible Notes is $55.5 million. The repurchase of the 2026 Convertible Notes was accounted for as an induced conversion. The excess of the fair value of the repurchase price over the if-converted value was $3.4 million and was recorded as inducement expense within other expense, net on the consolidated statements of operations. The net carrying amount of the repurchased 2026 Convertible Notes was derecognized, and the difference between the if-converted value and the net carrying amount of $102.7 million was recognized as a reduction in additional paid-in capital within the consolidated statement of stockholders’ deficit.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cash, cash equivalents and marketable securities of $2.23 billion.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our cash flows and our capital expenditures for the periods indicated.</w:t>
      </w:r>
    </w:p>
    <w:p>
      <w:pPr>
        <w:pStyle w:val="TextBody"/>
        <w:bidi w:val="0"/>
        <w:spacing w:before="0" w:after="240"/>
        <w:ind w:left="0" w:right="0" w:hanging="0"/>
        <w:jc w:val="both"/>
        <w:rPr>
          <w:shd w:fill="00FF00" w:val="clear"/>
        </w:rPr>
      </w:pPr>
      <w:r>
        <w:rPr>
          <w:shd w:fill="00FF00" w:val="clear"/>
        </w:rPr>
        <w:t>​</w:t>
      </w:r>
    </w:p>
    <w:tbl>
      <w:tblPr>
        <w:tblW w:w="5019" w:type="dxa"/>
        <w:jc w:val="left"/>
        <w:tblInd w:w="0" w:type="dxa"/>
        <w:tblLayout w:type="fixed"/>
        <w:tblCellMar>
          <w:top w:w="0" w:type="dxa"/>
          <w:left w:w="0" w:type="dxa"/>
          <w:bottom w:w="0" w:type="dxa"/>
          <w:right w:w="0" w:type="dxa"/>
        </w:tblCellMar>
      </w:tblPr>
      <w:tblGrid>
        <w:gridCol w:w="2371"/>
        <w:gridCol w:w="346"/>
        <w:gridCol w:w="901"/>
        <w:gridCol w:w="346"/>
        <w:gridCol w:w="901"/>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505585" cy="175260"/>
                      <wp:effectExtent l="0" t="0" r="0" b="0"/>
                      <wp:wrapNone/>
                      <wp:docPr id="582" name="Frame582"/>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83" name="Frame5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72135" cy="175260"/>
                      <wp:effectExtent l="0" t="0" r="0" b="0"/>
                      <wp:wrapNone/>
                      <wp:docPr id="584" name="Frame58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5"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572135" cy="175260"/>
                      <wp:effectExtent l="0" t="0" r="0" b="0"/>
                      <wp:wrapNone/>
                      <wp:docPr id="586" name="Frame58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97790" cy="175260"/>
                      <wp:effectExtent l="0" t="0" r="0" b="0"/>
                      <wp:wrapNone/>
                      <wp:docPr id="587" name="Frame5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70,071</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811,770</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(216,292)</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(606,369)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218,281</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2086" w:name="_Hlk195875675"/>
      <w:bookmarkEnd w:id="2086"/>
      <w:r>
        <w:rPr>
          <w:rFonts w:ascii="Times New Roman;Times;serif" w:hAnsi="Times New Roman;Times;serif"/>
          <w:sz w:val="20"/>
        </w:rPr>
        <w:t xml:space="preserve">Net cash provided by operating activities was $70.1 million for the six months ended June 30, 2026, and $811.8 million for the six months ended June 30, 2025. The net cash provided by operating activities for the six months ended June 30, 2026, primarily relates to the $50.0 million in cash received from Novartis for initiating the first Phase 3 clinical trial for a Licensed Product. The net cash provided by operating activities for the six months ended June 30, 2025,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primarily related to the upfront payment of $1.0 billion in cash received upon the closing of the Novartis Agreement in January 2025, partially offset by spend supporting clinical development and commercial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was $216.3 million for the six months ended June 30, 2026, compared to $606.4 million for the six months ended June 30, 2025. Cash used in investing activities for the six months ended June 30, 2026 and 2025, was primarily related to the purchases of marketable securities, acquisition of product rights, and purchases of fixed assets, offset by sales of marketable securities.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$218.3 million for the six months ended June 30, 2026, compared to $13.4 million for the six months ended June 30, 2025. Cash provided by financing activities for the six months ended June 30, 2026, was primarily attributable to cash received from the exercise of options, proceeds from employee stock purchase plan, proceeds from the issuance of the 2031 Convertible notes, offset by the debt issuance costs related to the 2031 convertible notes, and the repurchase and conversion of the 2026 Convertible Notes. Cash provided by financing activities for the six months ended June 30, 2025,</w:t>
      </w:r>
      <w:r>
        <w:rPr>
          <w:rFonts w:ascii="Times New Roman;Times;serif" w:hAnsi="Times New Roman;Times;serif"/>
          <w:sz w:val="20"/>
          <w:shd w:fill="FFFFFF" w:val="clear"/>
        </w:rPr>
        <w:t> was primarily attributable to proceeds from our employee stock purchase plan and proceeds from the exercise of options, partially offset by payments on contingent consideration obligation.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we will continue to incur significant expenses in connection with our commercialization efforts in the United States, the EEA, Latin America, Japan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our splicing and inflammation and ferroptosis programs as well as studies in our products for maintaining authorizations, label extensions and additional indications.</w:t>
      </w:r>
      <w:r>
        <w:rPr>
          <w:rFonts w:ascii="Times New Roman;Times;serif" w:hAnsi="Times New Roman;Times;serif"/>
          <w:color w:val="212529"/>
          <w:sz w:val="20"/>
          <w:shd w:fill="FFFFFF" w:val="clear"/>
        </w:rPr>
        <w:t xml:space="preserve"> </w:t>
      </w:r>
      <w:r>
        <w:rPr>
          <w:rFonts w:ascii="Times New Roman;Times;serif" w:hAnsi="Times New Roman;Times;serif"/>
          <w:sz w:val="20"/>
        </w:rPr>
        <w:t>These efforts may significantly impact the timing and extent of our commercialization and manufacturing expenses.</w:t>
      </w:r>
      <w:r>
        <w:rPr>
          <w:rFonts w:ascii="Times New Roman;Times;serif" w:hAnsi="Times New Roman;Times;serif"/>
          <w:sz w:val="20"/>
          <w:shd w:fill="FFFFFF" w:val="clear"/>
        </w:rPr>
        <w:t xml:space="preserve"> </w:t>
      </w:r>
      <w:r>
        <w:rPr>
          <w:rFonts w:ascii="Times New Roman;Times;serif" w:hAnsi="Times New Roman;Times;serif"/>
          <w:sz w:val="20"/>
        </w:rPr>
        <w:t>We met with the FDA in the fourth quarter of 2025 to discuss the vatiquinone development program, at which time the FDA suggested an additional study be conducted to support NDA resubmission. In April 2026, we again met with FDA to discuss the design of a new trial to provide additional data to support NDA resubmission. Based on the meeting discussion and written feedback, we plan to initiate the PROVE-FA open label study using matched natural history control in the third quarter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our expenses will increase if and as we:</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satisfy contractual and regulatory obligations that we assumed through our acquisitions and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commercialization strategy for our products, including initial commercialization launches of our products, label extensions or entering new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required to complete any additional clinical trials, non-clinical studies or Chemistry, Manufacturing and Controls, or CMC, assessments or analyses in order to advance our products or product candidates in the United States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the research and development of our splicing and inflammation and ferroptosis programs as well as studies in our products for maintaining authorizations, label extensions and additional indications;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discover and develop additional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expand and diversify our product pipeline through strategic transactions;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cash flows from product sales and milestone payments from Novartis, together with existing cash and cash equivalents,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and market our products and product candidates that may receive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adequate pricing, coverage and reimbursement terms, on a timely basis, with third-party payors for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vatiquinone including with respect to the expected timing of clinical trials and studies, availability of data, regulatory submissions and responses, meetings with regulatory agencies, and other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all post-marketing requirements imposed by regulatory agencies with respect to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results of activities for our splicing and inflammation and ferroptosis programs as well as studies in our products for maintaining authorizations, label extensions and additional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costs and timing of our commercialization activities, including product sales, marketing, legal, regulatory, distribution and manufacturing, for any of our products and for any of our other product candidates that may receive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splicing and inflammation and ferroptosis programs and Sephience, Translarna and Upstaza/Kebilidi in other territories;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the 2026 Convertible Notes;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the 2031 Convertible Notes;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any potential future growth in our employee 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clinical trials for our other product candidates, including those in our splicing and inflammation and ferroptosis programs;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received from commercial sales of our products or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EAP programs for Translarna for the treatment of nmDMD on adequate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Translarna through alternative means if pricing and reimbursement negotiations in the applicable territory do not have a positive outcome;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property-related claims;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inflammation and ferroptosis platform and Censa and our licensing of Tegsedi and Waylivra;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including our collaborations with Roche and the SMA Foundation, and our ability to obtain research funding and achieve milestones under these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results of activities for our votoplam program, including our right to receive any development, regulatory and sales milestones, profit sharing and royalty payments from Novartis;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decreases in revenue or increase in expenses resulting from geopolitical events, global economic developments and public health pandemics or epidemics.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our outstanding 2026 Convertible Notes, cash interest payments are payable on a semi-annual basis in arrears, which will require remaining funding of $0.4 million through maturity.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quarter ended June 30, 2026, aggregate Sephience global net sales in the prior four consecutive quarters exceeded $250.0 million, which, pursuant to the Censa Merger Agreement, triggered a $30.0 million net sales milestone payment to the former Censa securityholders. This milestone payment was recorded in accounts payable and accrued expenses on our consolidated balance sheet as of June 30, 2026.</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also have certain significant contractual obligations and commercial commitments that require funding and we have disclosed these items under the heading “Management’s Discussion and Analysis of Financial Condition and Results of Operations-Funding Obligations” in our 2025 Annual Report. There were no material changes to these obligations and commitments during the period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stockholders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sz w:val="20"/>
        </w:rPr>
      </w:pPr>
      <w:bookmarkStart w:id="2087" w:name="Item3QuantitativeandQualitativeDisclosur"/>
      <w:bookmarkStart w:id="2088" w:name="_217a3439_dcc6_4cb4_89f6_c32fd0338e00"/>
      <w:bookmarkEnd w:id="2087"/>
      <w:bookmarkEnd w:id="208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period ended June 30, 2026, there were no material changes in our market risk or how our market risk is managed, compared to those disclosed under the heading “Quantitative and Qualitative Disclosures about Market Risk” in our 2025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89" w:name="Item4ControlsandProcedures_472098"/>
      <w:bookmarkStart w:id="2090" w:name="_c79891be_5b06_43f3_b8d5_24479617833d"/>
      <w:bookmarkEnd w:id="2089"/>
      <w:bookmarkEnd w:id="209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No change in our internal control over financial reporting occurred during the quarter ended June 30, 2026 that has materially affected, or is reasonably likely to materially affect, our internal control over financial reporting.</w:t>
      </w:r>
    </w:p>
    <w:p>
      <w:pPr>
        <w:pStyle w:val="TextBody"/>
        <w:bidi w:val="0"/>
        <w:spacing w:before="0" w:after="0"/>
        <w:ind w:left="0" w:right="0" w:hanging="0"/>
        <w:jc w:val="center"/>
        <w:rPr>
          <w:rFonts w:ascii="Times New Roman;Times;serif" w:hAnsi="Times New Roman;Times;serif"/>
          <w:b/>
          <w:sz w:val="20"/>
        </w:rPr>
      </w:pPr>
      <w:bookmarkStart w:id="2091" w:name="PARTIIOTHERINFORMATION_312536"/>
      <w:bookmarkStart w:id="2092" w:name="_10f27909_83ef_4430_b2a7_944f03823275"/>
      <w:bookmarkEnd w:id="2091"/>
      <w:bookmarkEnd w:id="2092"/>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2093" w:name="Item1LegalProceedings_593195"/>
      <w:bookmarkEnd w:id="2093"/>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094" w:name="Item1ARiskFactors_708797"/>
      <w:bookmarkStart w:id="2095" w:name="_73bd61dc_f70b_4567_a2d5_66dc6719c31e"/>
      <w:bookmarkEnd w:id="2094"/>
      <w:bookmarkEnd w:id="2095"/>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set forth in Item 1A to our Annual Report on Form 10-K for the year ended December 31, 2025, risk factors relating to our business, our industry, our structure and our common stock. Readers of this Quarterly Report on Form 10-Q are referred to such Item 1A for a more complete understanding of risks concerning us. </w:t>
      </w:r>
    </w:p>
    <w:p>
      <w:pPr>
        <w:pStyle w:val="TextBody"/>
        <w:bidi w:val="0"/>
        <w:spacing w:before="0" w:after="0"/>
        <w:ind w:left="0" w:right="0" w:hanging="0"/>
        <w:jc w:val="both"/>
        <w:rPr>
          <w:rFonts w:ascii="Times New Roman;Times;serif" w:hAnsi="Times New Roman;Times;serif"/>
          <w:b/>
          <w:sz w:val="20"/>
        </w:rPr>
      </w:pPr>
      <w:bookmarkStart w:id="2096" w:name="Item5OtherInformation_403682"/>
      <w:bookmarkStart w:id="2097" w:name="_fa271f42_bba6_4bb2_8606_8d77c887d680"/>
      <w:bookmarkEnd w:id="2096"/>
      <w:bookmarkEnd w:id="2097"/>
      <w:r>
        <w:rPr>
          <w:rFonts w:ascii="Times New Roman;Times;serif" w:hAnsi="Times New Roman;Times;serif"/>
          <w:b/>
          <w:sz w:val="20"/>
        </w:rPr>
        <w:t>Item 5. Other Information.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portion of the compensation of our directors and officers (as defined in Rule 16a-1(f) under the Securities Exchange Act of 1934, as amended, or the Exchange Act) is in the form of equity awards and, from time to time, directors and officers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Company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Company securities in a manner that avoids concerns about initiating transactions while in possession of material nonpublic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20"/>
        <w:gridCol w:w="1150"/>
        <w:gridCol w:w="1415"/>
        <w:gridCol w:w="1396"/>
        <w:gridCol w:w="2149"/>
        <w:gridCol w:w="1275"/>
      </w:tblGrid>
      <w:tr>
        <w:trPr/>
        <w:tc>
          <w:tcPr>
            <w:tcW w:w="2820" w:type="dxa"/>
            <w:tcBorders/>
            <w:vAlign w:val="center"/>
          </w:tcPr>
          <w:p>
            <w:pPr>
              <w:pStyle w:val="TableContents"/>
              <w:bidi w:val="0"/>
              <w:spacing w:before="0" w:after="283"/>
              <w:ind w:left="0" w:right="0" w:hanging="0"/>
              <w:jc w:val="left"/>
              <w:rPr>
                <w:sz w:val="4"/>
                <w:szCs w:val="4"/>
              </w:rPr>
            </w:pPr>
            <w:r>
              <w:rPr>
                <w:sz w:val="4"/>
                <w:szCs w:val="4"/>
              </w:rPr>
            </w:r>
          </w:p>
        </w:tc>
        <w:tc>
          <w:tcPr>
            <w:tcW w:w="1150" w:type="dxa"/>
            <w:tcBorders/>
            <w:vAlign w:val="center"/>
          </w:tcPr>
          <w:p>
            <w:pPr>
              <w:pStyle w:val="TableContents"/>
              <w:bidi w:val="0"/>
              <w:spacing w:before="0" w:after="283"/>
              <w:ind w:left="0" w:right="0" w:hanging="0"/>
              <w:jc w:val="left"/>
              <w:rPr>
                <w:sz w:val="4"/>
                <w:szCs w:val="4"/>
              </w:rPr>
            </w:pPr>
            <w:r>
              <w:rPr>
                <w:sz w:val="4"/>
                <w:szCs w:val="4"/>
              </w:rPr>
            </w:r>
          </w:p>
        </w:tc>
        <w:tc>
          <w:tcPr>
            <w:tcW w:w="1415"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2149" w:type="dxa"/>
            <w:tcBorders/>
            <w:vAlign w:val="center"/>
          </w:tcPr>
          <w:p>
            <w:pPr>
              <w:pStyle w:val="TableContents"/>
              <w:bidi w:val="0"/>
              <w:spacing w:before="0" w:after="283"/>
              <w:ind w:left="0" w:right="0" w:hanging="0"/>
              <w:jc w:val="left"/>
              <w:rPr>
                <w:sz w:val="4"/>
                <w:szCs w:val="4"/>
              </w:rPr>
            </w:pPr>
            <w:r>
              <w:rPr>
                <w:sz w:val="4"/>
                <w:szCs w:val="4"/>
              </w:rPr>
            </w:r>
          </w:p>
        </w:tc>
        <w:tc>
          <w:tcPr>
            <w:tcW w:w="1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820" w:type="dxa"/>
            <w:tcBorders/>
            <w:vAlign w:val="center"/>
          </w:tcPr>
          <w:p>
            <w:pPr>
              <w:pStyle w:val="TableContents"/>
              <w:bidi w:val="0"/>
              <w:spacing w:before="0" w:after="283"/>
              <w:ind w:left="0" w:right="0" w:hanging="0"/>
              <w:jc w:val="left"/>
              <w:rPr>
                <w:sz w:val="4"/>
                <w:szCs w:val="4"/>
              </w:rPr>
            </w:pPr>
            <w:r>
              <w:rPr>
                <w:sz w:val="4"/>
                <w:szCs w:val="4"/>
              </w:rPr>
            </w:r>
          </w:p>
        </w:tc>
        <w:tc>
          <w:tcPr>
            <w:tcW w:w="1150" w:type="dxa"/>
            <w:tcBorders/>
            <w:vAlign w:val="center"/>
          </w:tcPr>
          <w:p>
            <w:pPr>
              <w:pStyle w:val="TableContents"/>
              <w:bidi w:val="0"/>
              <w:spacing w:before="0" w:after="283"/>
              <w:ind w:left="0" w:right="0" w:hanging="0"/>
              <w:jc w:val="left"/>
              <w:rPr>
                <w:sz w:val="4"/>
                <w:szCs w:val="4"/>
              </w:rPr>
            </w:pPr>
            <w:r>
              <w:rPr>
                <w:sz w:val="4"/>
                <w:szCs w:val="4"/>
              </w:rPr>
            </w:r>
          </w:p>
        </w:tc>
        <w:tc>
          <w:tcPr>
            <w:tcW w:w="1415"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2149" w:type="dxa"/>
            <w:tcBorders/>
            <w:vAlign w:val="center"/>
          </w:tcPr>
          <w:p>
            <w:pPr>
              <w:pStyle w:val="TableContents"/>
              <w:bidi w:val="0"/>
              <w:spacing w:before="0" w:after="283"/>
              <w:ind w:left="0" w:right="0" w:hanging="0"/>
              <w:jc w:val="left"/>
              <w:rPr>
                <w:sz w:val="4"/>
                <w:szCs w:val="4"/>
              </w:rPr>
            </w:pPr>
            <w:r>
              <w:rPr>
                <w:sz w:val="4"/>
                <w:szCs w:val="4"/>
              </w:rPr>
            </w:r>
          </w:p>
        </w:tc>
        <w:tc>
          <w:tcPr>
            <w:tcW w:w="1275" w:type="dxa"/>
            <w:tcBorders/>
            <w:vAlign w:val="center"/>
          </w:tcPr>
          <w:p>
            <w:pPr>
              <w:pStyle w:val="TableContents"/>
              <w:bidi w:val="0"/>
              <w:spacing w:before="0" w:after="283"/>
              <w:ind w:left="0" w:right="0" w:hanging="0"/>
              <w:jc w:val="left"/>
              <w:rPr>
                <w:sz w:val="4"/>
                <w:szCs w:val="4"/>
              </w:rPr>
            </w:pPr>
            <w:r>
              <w:rPr>
                <w:sz w:val="4"/>
                <w:szCs w:val="4"/>
              </w:rPr>
            </w:r>
          </w:p>
        </w:tc>
      </w:tr>
      <w:tr>
        <w:trPr/>
        <w:tc>
          <w:tcPr>
            <w:tcW w:w="282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15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 Taken (Date of Action)</w:t>
            </w:r>
          </w:p>
        </w:tc>
        <w:tc>
          <w:tcPr>
            <w:tcW w:w="141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Trading Arrangement</w:t>
            </w:r>
          </w:p>
        </w:tc>
        <w:tc>
          <w:tcPr>
            <w:tcW w:w="139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Nature of Trading Arrangement </w:t>
            </w:r>
          </w:p>
        </w:tc>
        <w:tc>
          <w:tcPr>
            <w:tcW w:w="214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Duration of Trading Arrangement</w:t>
            </w:r>
          </w:p>
        </w:tc>
        <w:tc>
          <w:tcPr>
            <w:tcW w:w="127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Aggregate Number of Securities </w:t>
            </w:r>
          </w:p>
        </w:tc>
      </w:tr>
      <w:tr>
        <w:trPr/>
        <w:tc>
          <w:tcPr>
            <w:tcW w:w="28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Schmertzler (Director) (by Section Six Partners, L.P., of which Mr. Schmertzler is a general partner and limited partner)</w:t>
            </w:r>
          </w:p>
        </w:tc>
        <w:tc>
          <w:tcPr>
            <w:tcW w:w="11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 (May 14, 2026)</w:t>
            </w:r>
          </w:p>
        </w:tc>
        <w:tc>
          <w:tcPr>
            <w:tcW w:w="14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4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February 1, 2027, or until such earlier date upon which all transactions are completed</w:t>
            </w:r>
          </w:p>
        </w:tc>
        <w:tc>
          <w:tcPr>
            <w:tcW w:w="12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170,000 shares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98" w:name="Item6Exhibits_210333"/>
      <w:bookmarkStart w:id="2099" w:name="_c8a3f917_bdc9_46dd_8e5b_c64ef99c0c78"/>
      <w:bookmarkEnd w:id="2098"/>
      <w:bookmarkEnd w:id="209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276"/>
        <w:gridCol w:w="146"/>
        <w:gridCol w:w="8783"/>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810260" cy="175260"/>
                      <wp:effectExtent l="0" t="0" r="0" b="0"/>
                      <wp:wrapNone/>
                      <wp:docPr id="588" name="Frame58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92710" cy="175260"/>
                      <wp:effectExtent l="0" t="0" r="0" b="0"/>
                      <wp:wrapNone/>
                      <wp:docPr id="589" name="Frame5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577205" cy="175260"/>
                      <wp:effectExtent l="0" t="0" r="0" b="0"/>
                      <wp:wrapNone/>
                      <wp:docPr id="590" name="Frame590"/>
                      <a:graphic xmlns:a="http://schemas.openxmlformats.org/drawingml/2006/main">
                        <a:graphicData uri="http://schemas.microsoft.com/office/word/2010/wordprocessingShape">
                          <wps:wsp>
                            <wps:cNvSpPr txBox="1"/>
                            <wps:spPr>
                              <a:xfrm>
                                <a:off x="0" y="0"/>
                                <a:ext cx="557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center"/>
              <w:rPr/>
            </w:pPr>
            <w:r>
              <w:rPr/>
              <w:t> </w:t>
            </w:r>
          </w:p>
        </w:tc>
        <w:tc>
          <w:tcPr>
            <w:tcW w:w="8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12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78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shd w:fill="FFFFFF" w:val="clear"/>
                </w:rPr>
                <w:t>Indenture (including Form of Note), dated June 18, 2026, between PTC Therapeutics, Inc. and U.S. Bank Trust Company, National Association.</w:t>
              </w:r>
            </w:hyperlink>
            <w:hyperlink r:id="rId3">
              <w:r>
                <w:rPr>
                  <w:rStyle w:val="InternetLink"/>
                  <w:rFonts w:ascii="Times New Roman;Times;serif" w:hAnsi="Times New Roman;Times;serif"/>
                  <w:caps w:val="false"/>
                  <w:smallCaps w:val="false"/>
                  <w:sz w:val="20"/>
                </w:rPr>
                <w:t xml:space="preserve"> </w:t>
              </w:r>
            </w:hyperlink>
            <w:hyperlink r:id="rId4">
              <w:r>
                <w:rPr>
                  <w:rStyle w:val="InternetLink"/>
                  <w:rFonts w:ascii="Times New Roman;Times;serif" w:hAnsi="Times New Roman;Times;serif"/>
                  <w:b w:val="false"/>
                  <w:i w:val="false"/>
                  <w:caps w:val="false"/>
                  <w:smallCaps w:val="false"/>
                  <w:sz w:val="20"/>
                </w:rPr>
                <w:t>(incorporated by reference to Exhibit 4.1 to the Current Report on Form 8-K filed by the Registrant on June 18, 2026)</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shd w:fill="FFFFFF" w:val="clear"/>
                </w:rPr>
                <w:t>Consulting Services Agreement between the Registrant and Alethia Young</w:t>
              </w:r>
            </w:hyperlink>
            <w:hyperlink r:id="rId6">
              <w:r>
                <w:rPr>
                  <w:rStyle w:val="InternetLink"/>
                  <w:rFonts w:ascii="Times New Roman;Times;serif" w:hAnsi="Times New Roman;Times;serif"/>
                  <w:caps w:val="false"/>
                  <w:smallCaps w:val="false"/>
                  <w:sz w:val="20"/>
                </w:rPr>
                <w:t xml:space="preserve"> </w:t>
              </w:r>
            </w:hyperlink>
            <w:hyperlink r:id="rId7">
              <w:r>
                <w:rPr>
                  <w:rStyle w:val="InternetLink"/>
                  <w:rFonts w:ascii="Times New Roman;Times;serif" w:hAnsi="Times New Roman;Times;serif"/>
                  <w:b w:val="false"/>
                  <w:i w:val="false"/>
                  <w:caps w:val="false"/>
                  <w:smallCaps w:val="false"/>
                  <w:sz w:val="20"/>
                </w:rPr>
                <w:t>(incorporated by reference to Exhibit 10.1 to the Current Report on Form 8-K filed by the Registrant on June 9, 2026)</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606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606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Database</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Quarterly Report on Form 10-Q, formatted in Inline XBRL</w:t>
            </w:r>
          </w:p>
        </w:tc>
      </w:tr>
    </w:tbl>
    <w:p>
      <w:pPr>
        <w:pStyle w:val="TextBody"/>
        <w:pBdr/>
        <w:bidi w:val="0"/>
        <w:spacing w:before="0" w:after="200"/>
        <w:ind w:left="0" w:right="0" w:hanging="360"/>
        <w:jc w:val="left"/>
        <w:rPr>
          <w:rFonts w:ascii="Times New Roman;Times;serif" w:hAnsi="Times New Roman;Times;serif"/>
          <w:sz w:val="20"/>
        </w:rPr>
      </w:pPr>
      <w:r>
        <w:rPr>
          <w:rFonts w:ascii="Times New Roman;Times;serif" w:hAnsi="Times New Roman;Times;serif"/>
          <w:sz w:val="20"/>
        </w:rPr>
        <w:t>*     Submitted electronically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SEC Release 33-8238, Exhibits 32.1 and 32.2 are being furnished and not filed.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00" w:name="SIGNATURES_319465"/>
      <w:bookmarkStart w:id="2101" w:name="_b408f383_2220_4f2b_bf88_10c1407893bb"/>
      <w:bookmarkEnd w:id="2100"/>
      <w:bookmarkEnd w:id="210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128" w:type="dxa"/>
        <w:jc w:val="left"/>
        <w:tblInd w:w="0" w:type="dxa"/>
        <w:tblLayout w:type="fixed"/>
        <w:tblCellMar>
          <w:top w:w="0" w:type="dxa"/>
          <w:left w:w="0" w:type="dxa"/>
          <w:bottom w:w="0" w:type="dxa"/>
          <w:right w:w="0" w:type="dxa"/>
        </w:tblCellMar>
      </w:tblPr>
      <w:tblGrid>
        <w:gridCol w:w="1711"/>
        <w:gridCol w:w="406"/>
        <w:gridCol w:w="501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086485" cy="175260"/>
                      <wp:effectExtent l="0" t="0" r="0" b="0"/>
                      <wp:wrapNone/>
                      <wp:docPr id="591" name="Frame59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57810" cy="175260"/>
                      <wp:effectExtent l="0" t="0" r="0" b="0"/>
                      <wp:wrapNone/>
                      <wp:docPr id="592" name="Frame59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181985" cy="175260"/>
                      <wp:effectExtent l="0" t="0" r="0" b="0"/>
                      <wp:wrapNone/>
                      <wp:docPr id="593" name="Frame593"/>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 </w:t>
            </w:r>
          </w:p>
        </w:tc>
        <w:tc>
          <w:tcPr>
            <w:tcW w:w="54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Duly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0"/>
        <w:ind w:left="0" w:right="0" w:hanging="0"/>
        <w:jc w:val="right"/>
        <w:rPr>
          <w:rFonts w:ascii="Times New Roman;Times;serif" w:hAnsi="Times New Roman;Times;serif"/>
          <w:b/>
          <w:sz w:val="20"/>
        </w:rPr>
      </w:pPr>
      <w:bookmarkStart w:id="2102" w:name="tmb-20260630xex31d1.htm"/>
      <w:bookmarkStart w:id="2103" w:name="kstmb20260630xex31d1"/>
      <w:bookmarkEnd w:id="2102"/>
      <w:bookmarkEnd w:id="2103"/>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Matthew B. Klein,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23" w:type="dxa"/>
        <w:jc w:val="center"/>
        <w:tblInd w:w="0" w:type="dxa"/>
        <w:tblLayout w:type="fixed"/>
        <w:tblCellMar>
          <w:top w:w="0" w:type="dxa"/>
          <w:left w:w="0" w:type="dxa"/>
          <w:bottom w:w="0" w:type="dxa"/>
          <w:right w:w="0" w:type="dxa"/>
        </w:tblCellMar>
      </w:tblPr>
      <w:tblGrid>
        <w:gridCol w:w="1711"/>
        <w:gridCol w:w="406"/>
        <w:gridCol w:w="2506"/>
      </w:tblGrid>
      <w:tr>
        <w:trPr/>
        <w:tc>
          <w:tcPr>
            <w:tcW w:w="171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71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71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71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4" w:name="tmb-20260630xex31d2.htm"/>
      <w:bookmarkStart w:id="2105" w:name="kstmb20260630xex31d2"/>
      <w:bookmarkEnd w:id="2104"/>
      <w:bookmarkEnd w:id="2105"/>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Pierre Gravier,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38" w:type="dxa"/>
        <w:jc w:val="center"/>
        <w:tblInd w:w="0" w:type="dxa"/>
        <w:tblLayout w:type="fixed"/>
        <w:tblCellMar>
          <w:top w:w="0" w:type="dxa"/>
          <w:left w:w="0" w:type="dxa"/>
          <w:bottom w:w="0" w:type="dxa"/>
          <w:right w:w="0" w:type="dxa"/>
        </w:tblCellMar>
      </w:tblPr>
      <w:tblGrid>
        <w:gridCol w:w="1711"/>
        <w:gridCol w:w="406"/>
        <w:gridCol w:w="2521"/>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6" w:name="tmb-20260630xex32d1.htm"/>
      <w:bookmarkStart w:id="2107" w:name="kstmb20260630xex32d1"/>
      <w:bookmarkEnd w:id="2106"/>
      <w:bookmarkEnd w:id="2107"/>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June 30, 2026 as filed with the Securities and Exchange Commission on the date hereof (the “Report”), the undersigned, Matthew B. Klein, Chief Executive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623" w:type="dxa"/>
        <w:jc w:val="center"/>
        <w:tblInd w:w="0" w:type="dxa"/>
        <w:tblLayout w:type="fixed"/>
        <w:tblCellMar>
          <w:top w:w="0" w:type="dxa"/>
          <w:left w:w="0" w:type="dxa"/>
          <w:bottom w:w="0" w:type="dxa"/>
          <w:right w:w="0" w:type="dxa"/>
        </w:tblCellMar>
      </w:tblPr>
      <w:tblGrid>
        <w:gridCol w:w="1711"/>
        <w:gridCol w:w="406"/>
        <w:gridCol w:w="250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8" w:name="tmb-20260630xex32d2.htm"/>
      <w:bookmarkStart w:id="2109" w:name="kstmb20260630xex32d2"/>
      <w:bookmarkEnd w:id="2108"/>
      <w:bookmarkEnd w:id="2109"/>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June 30, 2026 as filed with the Securities and Exchange Commission on the date hereof (the “Report”), the undersigned, Pierre Gravier, Chief Financial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xml:space="preserve">             </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638" w:type="dxa"/>
        <w:jc w:val="center"/>
        <w:tblInd w:w="0" w:type="dxa"/>
        <w:tblLayout w:type="fixed"/>
        <w:tblCellMar>
          <w:top w:w="0" w:type="dxa"/>
          <w:left w:w="0" w:type="dxa"/>
          <w:bottom w:w="0" w:type="dxa"/>
          <w:right w:w="0" w:type="dxa"/>
        </w:tblCellMar>
      </w:tblPr>
      <w:tblGrid>
        <w:gridCol w:w="1711"/>
        <w:gridCol w:w="406"/>
        <w:gridCol w:w="2521"/>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081/000110465926075731/tm2618266d1_ex4-1.htm" TargetMode="External"/><Relationship Id="rId3" Type="http://schemas.openxmlformats.org/officeDocument/2006/relationships/hyperlink" Target="https://www.sec.gov/Archives/edgar/data/1070081/000110465926075731/tm2618266d1_ex4-1.htm" TargetMode="External"/><Relationship Id="rId4" Type="http://schemas.openxmlformats.org/officeDocument/2006/relationships/hyperlink" Target="https://www.sec.gov/Archives/edgar/data/1070081/000110465926075731/tm2618266d1_ex4-1.htm" TargetMode="External"/><Relationship Id="rId5" Type="http://schemas.openxmlformats.org/officeDocument/2006/relationships/hyperlink" Target="https://www.sec.gov/Archives/edgar/data/1070081/000110465926071916/tmb-20260608xex10d1.htm" TargetMode="External"/><Relationship Id="rId6" Type="http://schemas.openxmlformats.org/officeDocument/2006/relationships/hyperlink" Target="https://www.sec.gov/Archives/edgar/data/1070081/000110465926071916/tmb-20260608xex10d1.htm" TargetMode="External"/><Relationship Id="rId7" Type="http://schemas.openxmlformats.org/officeDocument/2006/relationships/hyperlink" Target="https://www.sec.gov/Archives/edgar/data/1070081/000110465926071916/tmb-20260608xex10d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35481</Words>
  <Characters>196483</Characters>
  <CharactersWithSpaces>234840</CharactersWithSpaces>
  <Paragraphs>7838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