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center"/>
        <w:rPr/>
      </w:pPr>
      <w:bookmarkStart w:id="0" w:name="tmb-20260728x8k.htm"/>
      <w:bookmarkStart w:id="1" w:name="kstmb20260728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ccc2a779_eda1_4a7a_9a30_fff51e0b1562"/>
      <w:bookmarkEnd w:id="2"/>
      <w:r>
        <w:rPr>
          <w:rFonts w:ascii="Times New Roman;Times;serif" w:hAnsi="Times New Roman;Times;serif"/>
          <w:b/>
          <w:sz w:val="34"/>
        </w:rPr>
        <w:t>UNITED STATES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8-K</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Pursuant to Section 13 or 15(d) of the Securities Exchange Act of 1934</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Date of Report (Date of earliest event reported): </w:t>
      </w:r>
      <w:r>
        <w:rPr>
          <w:rFonts w:ascii="Times New Roman;Times;serif" w:hAnsi="Times New Roman;Times;serif"/>
          <w:b/>
          <w:sz w:val="18"/>
        </w:rPr>
        <w:t>July 28, 2026</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PTC THERAPEUTICS,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Company as Specified in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 w:name="Tc_JE_ntYfDTUSgq9PseBw5tA_3_4"/>
      <w:bookmarkStart w:id="4" w:name="Tc_HFX92fdt9kKO6cpUg4vCcQ_3_2"/>
      <w:bookmarkStart w:id="5" w:name="Tc_NowKDJ1TCEmAnMkVRDsmCQ_3_0"/>
      <w:bookmarkStart w:id="6" w:name="Tc_d-RvN6nrGUefSVMKDfN1Gw_2_4"/>
      <w:bookmarkStart w:id="7" w:name="Tc_q7UnjlJ9GEOpMFGKhNSqbg_2_2"/>
      <w:bookmarkStart w:id="8" w:name="Tc_LoNFeMw-b06TZ-0vvgt7cA_2_0"/>
      <w:bookmarkStart w:id="9" w:name="_55447ebd_8ac3_48f2_9214_a2803b87ebd3"/>
      <w:bookmarkStart w:id="10" w:name="Tc_JE_ntYfDTUSgq9PseBw5tA_3_4"/>
      <w:bookmarkStart w:id="11" w:name="Tc_HFX92fdt9kKO6cpUg4vCcQ_3_2"/>
      <w:bookmarkStart w:id="12" w:name="Tc_NowKDJ1TCEmAnMkVRDsmCQ_3_0"/>
      <w:bookmarkStart w:id="13" w:name="Tc_d-RvN6nrGUefSVMKDfN1Gw_2_4"/>
      <w:bookmarkStart w:id="14" w:name="Tc_q7UnjlJ9GEOpMFGKhNSqbg_2_2"/>
      <w:bookmarkStart w:id="15" w:name="Tc_LoNFeMw-b06TZ-0vvgt7cA_2_0"/>
      <w:bookmarkStart w:id="16" w:name="_55447ebd_8ac3_48f2_9214_a2803b87ebd3"/>
      <w:bookmarkEnd w:id="10"/>
      <w:bookmarkEnd w:id="11"/>
      <w:bookmarkEnd w:id="12"/>
      <w:bookmarkEnd w:id="13"/>
      <w:bookmarkEnd w:id="14"/>
      <w:bookmarkEnd w:id="15"/>
      <w:bookmarkEnd w:id="16"/>
    </w:p>
    <w:tbl>
      <w:tblPr>
        <w:tblW w:w="5255" w:type="dxa"/>
        <w:jc w:val="left"/>
        <w:tblInd w:w="0" w:type="dxa"/>
        <w:tblLayout w:type="fixed"/>
        <w:tblCellMar>
          <w:top w:w="0" w:type="dxa"/>
          <w:left w:w="0" w:type="dxa"/>
          <w:bottom w:w="0" w:type="dxa"/>
          <w:right w:w="0" w:type="dxa"/>
        </w:tblCellMar>
      </w:tblPr>
      <w:tblGrid>
        <w:gridCol w:w="2041"/>
        <w:gridCol w:w="346"/>
        <w:gridCol w:w="1066"/>
        <w:gridCol w:w="346"/>
        <w:gridCol w:w="145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96035" cy="175260"/>
                      <wp:effectExtent l="0" t="0" r="0" b="0"/>
                      <wp:wrapNone/>
                      <wp:docPr id="1" name="Frame1"/>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76910" cy="175260"/>
                      <wp:effectExtent l="0" t="0" r="0" b="0"/>
                      <wp:wrapNone/>
                      <wp:docPr id="3" name="Frame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924560" cy="175260"/>
                      <wp:effectExtent l="0" t="0" r="0" b="0"/>
                      <wp:wrapNone/>
                      <wp:docPr id="5" name="Frame5"/>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001-35969</w:t>
            </w:r>
          </w:p>
        </w:tc>
        <w:tc>
          <w:tcPr>
            <w:tcW w:w="346" w:type="dxa"/>
            <w:tcBorders/>
            <w:vAlign w:val="center"/>
          </w:tcPr>
          <w:p>
            <w:pPr>
              <w:pStyle w:val="TableContents"/>
              <w:bidi w:val="0"/>
              <w:spacing w:before="0" w:after="0"/>
              <w:ind w:left="0" w:right="0" w:hanging="0"/>
              <w:jc w:val="left"/>
              <w:rPr/>
            </w:pPr>
            <w:r>
              <w:rPr/>
              <w:t>  ​ ​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04-3416587</w:t>
            </w:r>
          </w:p>
        </w:tc>
      </w:tr>
      <w:tr>
        <w:trPr/>
        <w:tc>
          <w:tcPr>
            <w:tcW w:w="20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w:t>
            </w:r>
          </w:p>
        </w:tc>
        <w:tc>
          <w:tcPr>
            <w:tcW w:w="346" w:type="dxa"/>
            <w:tcBorders/>
            <w:vAlign w:val="center"/>
          </w:tcPr>
          <w:p>
            <w:pPr>
              <w:pStyle w:val="TableContents"/>
              <w:bidi w:val="0"/>
              <w:spacing w:before="0" w:after="24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w:t>
            </w:r>
          </w:p>
        </w:tc>
        <w:tc>
          <w:tcPr>
            <w:tcW w:w="346" w:type="dxa"/>
            <w:tcBorders/>
            <w:vAlign w:val="center"/>
          </w:tcPr>
          <w:p>
            <w:pPr>
              <w:pStyle w:val="TableContents"/>
              <w:bidi w:val="0"/>
              <w:spacing w:before="0" w:after="24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tc>
      </w:tr>
      <w:tr>
        <w:trPr/>
        <w:tc>
          <w:tcPr>
            <w:tcW w:w="20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of Incorporation)</w:t>
            </w:r>
          </w:p>
        </w:tc>
        <w:tc>
          <w:tcPr>
            <w:tcW w:w="346" w:type="dxa"/>
            <w:tcBorders/>
            <w:vAlign w:val="center"/>
          </w:tcPr>
          <w:p>
            <w:pPr>
              <w:pStyle w:val="TableContents"/>
              <w:bidi w:val="0"/>
              <w:spacing w:before="0" w:after="24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 Number)</w:t>
            </w:r>
          </w:p>
        </w:tc>
        <w:tc>
          <w:tcPr>
            <w:tcW w:w="346" w:type="dxa"/>
            <w:tcBorders/>
            <w:vAlign w:val="center"/>
          </w:tcPr>
          <w:p>
            <w:pPr>
              <w:pStyle w:val="TableContents"/>
              <w:bidi w:val="0"/>
              <w:spacing w:before="0" w:after="24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7" w:name="Tc_jwflj92hYEuw-alxSPBsuw_3_3"/>
      <w:bookmarkStart w:id="18" w:name="Tc_mJ_BJRMOAEurhCwJ7_2ZMA_3_0"/>
      <w:bookmarkStart w:id="19" w:name="Tc_e0QcAxaqCESMyG4GBDXtsQ_2_0"/>
      <w:bookmarkStart w:id="20" w:name="_c0dd52bc_18a5_4ddb_b41a_c697e874a0ff"/>
      <w:bookmarkStart w:id="21" w:name="Tc_jwflj92hYEuw-alxSPBsuw_3_3"/>
      <w:bookmarkStart w:id="22" w:name="Tc_mJ_BJRMOAEurhCwJ7_2ZMA_3_0"/>
      <w:bookmarkStart w:id="23" w:name="Tc_e0QcAxaqCESMyG4GBDXtsQ_2_0"/>
      <w:bookmarkStart w:id="24" w:name="_c0dd52bc_18a5_4ddb_b41a_c697e874a0ff"/>
      <w:bookmarkEnd w:id="21"/>
      <w:bookmarkEnd w:id="22"/>
      <w:bookmarkEnd w:id="23"/>
      <w:bookmarkEnd w:id="24"/>
    </w:p>
    <w:tbl>
      <w:tblPr>
        <w:tblW w:w="4402" w:type="dxa"/>
        <w:jc w:val="left"/>
        <w:tblInd w:w="0" w:type="dxa"/>
        <w:tblLayout w:type="fixed"/>
        <w:tblCellMar>
          <w:top w:w="0" w:type="dxa"/>
          <w:left w:w="0" w:type="dxa"/>
          <w:bottom w:w="0" w:type="dxa"/>
          <w:right w:w="0" w:type="dxa"/>
        </w:tblCellMar>
      </w:tblPr>
      <w:tblGrid>
        <w:gridCol w:w="3016"/>
        <w:gridCol w:w="109"/>
        <w:gridCol w:w="346"/>
        <w:gridCol w:w="93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915160" cy="175260"/>
                      <wp:effectExtent l="0" t="0" r="0" b="0"/>
                      <wp:wrapNone/>
                      <wp:docPr id="6" name="Frame6"/>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91185" cy="175260"/>
                      <wp:effectExtent l="0" t="0" r="0" b="0"/>
                      <wp:wrapNone/>
                      <wp:docPr id="8" name="Frame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500 Warren Corporate Center Drive</w:t>
            </w:r>
          </w:p>
        </w:tc>
        <w:tc>
          <w:tcPr>
            <w:tcW w:w="109"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24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Warren, NJ</w:t>
            </w:r>
          </w:p>
        </w:tc>
        <w:tc>
          <w:tcPr>
            <w:tcW w:w="109"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07059</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09"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Registrant’s telephone number, including area code: </w:t>
      </w:r>
      <w:r>
        <w:rPr>
          <w:rFonts w:ascii="Times New Roman;Times;serif" w:hAnsi="Times New Roman;Times;serif"/>
          <w:b/>
          <w:sz w:val="18"/>
        </w:rPr>
        <w:t>(908) 222-7000</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or Former Address, if Changed Since Last Report)</w:t>
      </w:r>
    </w:p>
    <w:p>
      <w:pPr>
        <w:pStyle w:val="TextBody"/>
        <w:bidi w:val="0"/>
        <w:spacing w:before="0" w:after="240"/>
        <w:ind w:left="0" w:right="0" w:hanging="0"/>
        <w:jc w:val="center"/>
        <w:rPr/>
      </w:pPr>
      <w:r>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 (</w:t>
      </w:r>
      <w:r>
        <w:rPr>
          <w:rFonts w:ascii="Times New Roman;Times;serif" w:hAnsi="Times New Roman;Times;serif"/>
          <w:i/>
          <w:sz w:val="18"/>
        </w:rPr>
        <w:t>see</w:t>
      </w:r>
      <w:r>
        <w:rPr>
          <w:rFonts w:ascii="Times New Roman;Times;serif" w:hAnsi="Times New Roman;Times;serif"/>
          <w:sz w:val="18"/>
        </w:rPr>
        <w:t xml:space="preserve"> General Instruction A.2. below):</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Written communications pursuant to Rule 425 under the Securities Act (17 CFR 230.425)</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Soliciting material pursuant to Rule 14a-12 under the Exchange Act (17 CFR 240.14a-12)</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Pre-commencement communications pursuant to Rule 14d-2(b) under the Exchange Act (17 CFR 240.14d-2(b))</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Pre-commencement communications pursuant to Rule 13e-4(c) under the Exchange Act (17 CFR 240.13e-4(c))</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5" w:name="Tc_NTz0yF3kmEWCYiM4Bj13mA_1_4"/>
      <w:bookmarkStart w:id="26" w:name="Tc_dVBj2KQKV0GZW3t7q4GpLA_1_2"/>
      <w:bookmarkStart w:id="27" w:name="Tc_FjnrFxeGCkGvJGPFHqoQnw_1_0"/>
      <w:bookmarkStart w:id="28" w:name="_78f9e492_9551_4dcc_bd52_e93e8cab4c26"/>
      <w:bookmarkStart w:id="29" w:name="Tc_NTz0yF3kmEWCYiM4Bj13mA_1_4"/>
      <w:bookmarkStart w:id="30" w:name="Tc_dVBj2KQKV0GZW3t7q4GpLA_1_2"/>
      <w:bookmarkStart w:id="31" w:name="Tc_FjnrFxeGCkGvJGPFHqoQnw_1_0"/>
      <w:bookmarkStart w:id="32" w:name="_78f9e492_9551_4dcc_bd52_e93e8cab4c26"/>
      <w:bookmarkEnd w:id="29"/>
      <w:bookmarkEnd w:id="30"/>
      <w:bookmarkEnd w:id="31"/>
      <w:bookmarkEnd w:id="32"/>
    </w:p>
    <w:tbl>
      <w:tblPr>
        <w:tblW w:w="8930" w:type="dxa"/>
        <w:jc w:val="left"/>
        <w:tblInd w:w="0" w:type="dxa"/>
        <w:tblLayout w:type="fixed"/>
        <w:tblCellMar>
          <w:top w:w="0" w:type="dxa"/>
          <w:left w:w="0" w:type="dxa"/>
          <w:bottom w:w="0" w:type="dxa"/>
          <w:right w:w="0" w:type="dxa"/>
        </w:tblCellMar>
      </w:tblPr>
      <w:tblGrid>
        <w:gridCol w:w="3196"/>
        <w:gridCol w:w="346"/>
        <w:gridCol w:w="1561"/>
        <w:gridCol w:w="346"/>
        <w:gridCol w:w="348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29460" cy="175260"/>
                      <wp:effectExtent l="0" t="0" r="0" b="0"/>
                      <wp:wrapNone/>
                      <wp:docPr id="9" name="Frame9"/>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91235" cy="175260"/>
                      <wp:effectExtent l="0" t="0" r="0" b="0"/>
                      <wp:wrapNone/>
                      <wp:docPr id="11" name="Frame11"/>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210435" cy="175260"/>
                      <wp:effectExtent l="0" t="0" r="0" b="0"/>
                      <wp:wrapNone/>
                      <wp:docPr id="13" name="Frame13"/>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346" w:type="dxa"/>
            <w:tcBorders/>
            <w:vAlign w:val="center"/>
          </w:tcPr>
          <w:p>
            <w:pPr>
              <w:pStyle w:val="TableContents"/>
              <w:bidi w:val="0"/>
              <w:spacing w:before="0" w:after="240"/>
              <w:ind w:left="0" w:right="0" w:hanging="0"/>
              <w:jc w:val="left"/>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PTCT</w:t>
            </w:r>
          </w:p>
        </w:tc>
        <w:tc>
          <w:tcPr>
            <w:tcW w:w="346" w:type="dxa"/>
            <w:tcBorders/>
            <w:vAlign w:val="center"/>
          </w:tcPr>
          <w:p>
            <w:pPr>
              <w:pStyle w:val="TableContents"/>
              <w:bidi w:val="0"/>
              <w:spacing w:before="0" w:after="240"/>
              <w:ind w:left="0" w:right="0" w:hanging="0"/>
              <w:jc w:val="left"/>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Select Market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center"/>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33" w:name="_15447993_9eee_42c3_af67_dde139100df9"/>
      <w:bookmarkEnd w:id="33"/>
      <w:r>
        <w:rPr>
          <w:rFonts w:ascii="Times New Roman;Times;serif" w:hAnsi="Times New Roman;Times;serif"/>
          <w:b/>
          <w:sz w:val="20"/>
        </w:rPr>
        <w:t>Item 2.02. </w:t>
      </w:r>
      <w:r>
        <w:rPr>
          <w:rFonts w:ascii="Times New Roman;Times;serif" w:hAnsi="Times New Roman;Times;serif"/>
          <w:b/>
          <w:color w:val="212529"/>
          <w:sz w:val="20"/>
          <w:shd w:fill="FFFFFF" w:val="clear"/>
        </w:rPr>
        <w:t>Results of Operations and Financial Condition.</w:t>
      </w:r>
    </w:p>
    <w:p>
      <w:pPr>
        <w:pStyle w:val="TextBody"/>
        <w:bidi w:val="0"/>
        <w:spacing w:before="0" w:after="20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On July 30, 2026, PTC Therapeutics, Inc. (the “Company”) announced its financial results for the quarter ended June 30, 2026. The full text of the press release issued in connection with the announcement is furnished as Exhibit 99.1 to this Current Report on Form 8-K (this “Report”) and is incorporated by reference into this Item 2.02.</w:t>
      </w:r>
    </w:p>
    <w:p>
      <w:pPr>
        <w:pStyle w:val="TextBody"/>
        <w:bidi w:val="0"/>
        <w:spacing w:before="0" w:after="200"/>
        <w:ind w:left="0" w:right="0" w:hanging="0"/>
        <w:jc w:val="left"/>
        <w:rPr>
          <w:rFonts w:ascii="Times New Roman;Times;serif" w:hAnsi="Times New Roman;Times;serif"/>
          <w:b/>
          <w:sz w:val="20"/>
        </w:rPr>
      </w:pPr>
      <w:bookmarkStart w:id="34" w:name="_e7cfb5cd_582a_476d_958b_ce05bfc22cd4"/>
      <w:bookmarkEnd w:id="34"/>
      <w:r>
        <w:rPr>
          <w:rFonts w:ascii="Times New Roman;Times;serif" w:hAnsi="Times New Roman;Times;serif"/>
          <w:b/>
          <w:sz w:val="20"/>
        </w:rPr>
        <w:t>Item 5.02. Departure of Directors or Certain Officers; Election of Directors; Appointment of Certain Officers; Compensatory Arrangements of Certain Officers.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July 28, 2026, the Company appointed Hege Sollie-Zetlmayer to its board of directors (the “Board”), effective immediately, filling a vacancy on the Board. Ms. Sollie-Zetlmayer will serve as a Class III director with a term expiring at the annual meeting of stockholders to be held in 2028.</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Ms. Sollie-Zetlmayer has 30 years of experience in the biopharmaceutical and medical device industry, including the last eight with PTC Therapeutics, Inc. Ms. Sollie-Zetlmayer joined the Company in June 2018 as VP Human Resources Europe, Asia Pacific, and became VP Global Talent Management &amp; Global HR Business Partners in November 2018, SVP, Global Human Resources in November 2020 and Chief Human Resources Officer from November 2023, a role she held until her retirement in June 2026. She serves as a director of PTC Therapeutics International Limited, our international headquarters and indirect wholly owned subsidiary, and previously served as a director of PTC Therapeutics Switzerland GmbH, our indirect wholly owned subsidiary. Ms. Sollie-Zetlmayer founded and manages HSZ Consulting GmbH, an executive advisory company, and previously served as the first female chairman of the Norwegian Medical Device Association. Ms. Sollie-Zetlmayer studied Human Resources at the Norwegian School of Business BI in Oslo and holds a certificate from Wharton Executive Education in Corporate Governance.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connection with Ms. Sollie-Zetlmayer’s appointment to the Board, she will be entitled to compensation in accordance with the Company’s outside director compensation policy, under which each non-employee director receives a base annual retainer of $50,000 per year for service as a Board member. The Company will also reimburse Ms. Sollie-Zetlmayer for reasonable travel and other expenses incurred in connection with attending meetings of the Board and any committee on which she serves.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addition, in accordance with the Company's outside director equity compensation policy, the Company granted Ms. Sollie-Zetlmayer, pursuant to the Company’s Amended and Restated 2013 Long-Term Incentive Plan, (i) an “initial director equity grant” consisting of 3,475 stock options to purchase shares of the Company’s common stock, which vest equally on a monthly basis over 36 months beginning on the one month anniversary of the grant date and 4,000 restricted stock units, which shares underlying such restricted stock units vest in three equal annual installments commencing on July 28, 2027, and (ii) an “annual director equity grant”, pro-rated for the remainder of 2026, consisting of 1,738 stock options to purchase shares of the Company’s common stock, which vest in six equal monthly installments commencing on August 2, 2026, and 2,000 restricted stock units, with the shares underlying such restricted stock units vesting on January 2, 2027. Beginning in 2027, Ms. Sollie-Zetlmayer will be eligible for equity award grants on the same terms as other continuing members of the Board.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There is no arrangement or understanding between Ms. Sollie-Zetlmayer and any other persons pursuant to which Ms. Sollie-Zetlmayer was elected as a director. In addition, Ms. Sollie-Zetlmayer is not a party to any transaction, or series of transactions, required to be disclosed pursuant to Item 404(a) of Regulation S-K.</w:t>
      </w:r>
    </w:p>
    <w:p>
      <w:pPr>
        <w:pStyle w:val="TextBody"/>
        <w:pBdr/>
        <w:bidi w:val="0"/>
        <w:spacing w:before="0" w:after="0"/>
        <w:ind w:left="0" w:right="0" w:hanging="0"/>
        <w:jc w:val="left"/>
        <w:rPr>
          <w:rFonts w:ascii="Times New Roman;Times;serif" w:hAnsi="Times New Roman;Times;serif"/>
          <w:b/>
          <w:sz w:val="20"/>
        </w:rPr>
      </w:pPr>
      <w:bookmarkStart w:id="35" w:name="_dc39655c_d0ae_4258_9f15_ac657e525792"/>
      <w:bookmarkEnd w:id="35"/>
      <w:r>
        <w:rPr>
          <w:rFonts w:ascii="Times New Roman;Times;serif" w:hAnsi="Times New Roman;Times;serif"/>
          <w:b/>
          <w:sz w:val="20"/>
        </w:rPr>
        <w:t>Item 7.01. Regulation FD Disclosure.</w:t>
      </w:r>
    </w:p>
    <w:p>
      <w:pPr>
        <w:pStyle w:val="TextBody"/>
        <w:pBdr/>
        <w:shd w:fill="FFFFFF" w:val="clear"/>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The Company will host a conference call on July 30, 2026 at 4:30 p.m. eastern time, as previously announced. During this call the Company expects to review financial results for the quarter ended June 30, 2026, as well as other corporate highlights and updates. Instructions on how to access the conference call are included in the press release furnished as Exhibit 99.1 hereto.</w:t>
      </w:r>
    </w:p>
    <w:p>
      <w:pPr>
        <w:pStyle w:val="TextBody"/>
        <w:shd w:fill="FFFFFF" w:val="clear"/>
        <w:bidi w:val="0"/>
        <w:spacing w:before="0" w:after="200"/>
        <w:ind w:left="0" w:right="0" w:hanging="0"/>
        <w:jc w:val="left"/>
        <w:rPr>
          <w:rFonts w:ascii="Times New Roman;Times;serif" w:hAnsi="Times New Roman;Times;serif"/>
          <w:color w:val="212529"/>
          <w:sz w:val="20"/>
        </w:rPr>
      </w:pPr>
      <w:r>
        <w:rPr>
          <w:rFonts w:ascii="Times New Roman;Times;serif" w:hAnsi="Times New Roman;Times;serif"/>
          <w:color w:val="212529"/>
          <w:sz w:val="20"/>
        </w:rPr>
        <w:t>The information in this Report (including Items 2.02 and 7.01 and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All website addresses given in this Report or incorporated herein by reference are for information only and are not intended to be an active link or to incorporate any website information into this Report.</w:t>
      </w:r>
    </w:p>
    <w:p>
      <w:pPr>
        <w:pStyle w:val="TextBody"/>
        <w:bidi w:val="0"/>
        <w:spacing w:before="0" w:after="200"/>
        <w:ind w:left="0" w:right="0" w:hanging="0"/>
        <w:jc w:val="left"/>
        <w:rPr>
          <w:rFonts w:ascii="Times New Roman;Times;serif" w:hAnsi="Times New Roman;Times;serif"/>
          <w:b/>
          <w:sz w:val="20"/>
        </w:rPr>
      </w:pPr>
      <w:bookmarkStart w:id="36" w:name="_b5165b14_3964_49ca_9a5a_655029b48f4d"/>
      <w:bookmarkEnd w:id="36"/>
      <w:r>
        <w:rPr>
          <w:rFonts w:ascii="Times New Roman;Times;serif" w:hAnsi="Times New Roman;Times;serif"/>
          <w:b/>
          <w:sz w:val="20"/>
        </w:rPr>
        <w:t>Item 9.01. Financial Statements and Exhibits.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 Exhibits</w:t>
      </w:r>
    </w:p>
    <w:tbl>
      <w:tblPr>
        <w:tblW w:w="8088" w:type="dxa"/>
        <w:jc w:val="left"/>
        <w:tblInd w:w="0" w:type="dxa"/>
        <w:tblLayout w:type="fixed"/>
        <w:tblCellMar>
          <w:top w:w="0" w:type="dxa"/>
          <w:left w:w="0" w:type="dxa"/>
          <w:bottom w:w="0" w:type="dxa"/>
          <w:right w:w="0" w:type="dxa"/>
        </w:tblCellMar>
      </w:tblPr>
      <w:tblGrid>
        <w:gridCol w:w="1081"/>
        <w:gridCol w:w="346"/>
        <w:gridCol w:w="666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86435" cy="175260"/>
                      <wp:effectExtent l="0" t="0" r="0" b="0"/>
                      <wp:wrapNone/>
                      <wp:docPr id="14" name="Frame1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229735" cy="175260"/>
                      <wp:effectExtent l="0" t="0" r="0" b="0"/>
                      <wp:wrapNone/>
                      <wp:docPr id="16" name="Frame16"/>
                      <a:graphic xmlns:a="http://schemas.openxmlformats.org/drawingml/2006/main">
                        <a:graphicData uri="http://schemas.microsoft.com/office/word/2010/wordprocessingShape">
                          <wps:wsp>
                            <wps:cNvSpPr txBox="1"/>
                            <wps:spPr>
                              <a:xfrm>
                                <a:off x="0" y="0"/>
                                <a:ext cx="422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66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6661" w:type="dxa"/>
            <w:tcBorders/>
            <w:vAlign w:val="center"/>
          </w:tcPr>
          <w:p>
            <w:pPr>
              <w:pStyle w:val="TableContents"/>
              <w:bidi w:val="0"/>
              <w:spacing w:before="0" w:after="0"/>
              <w:ind w:left="0" w:right="0" w:hanging="0"/>
              <w:jc w:val="left"/>
              <w:rPr/>
            </w:pPr>
            <w:hyperlink w:anchor="tmb-20260728xex99d1.htm">
              <w:r>
                <w:rPr>
                  <w:rStyle w:val="InternetLink"/>
                  <w:rFonts w:ascii="Times New Roman;Times;serif" w:hAnsi="Times New Roman;Times;serif"/>
                  <w:b w:val="false"/>
                  <w:i w:val="false"/>
                  <w:caps w:val="false"/>
                  <w:smallCaps w:val="false"/>
                  <w:sz w:val="20"/>
                </w:rPr>
                <w:t>Press Release, dated July 30, 2026 issued by PTC Therapeutics, Inc.</w:t>
              </w:r>
            </w:hyperlink>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6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this Current Report on Form 8-K, formatted in Inline XBRL</w:t>
            </w:r>
          </w:p>
        </w:tc>
      </w:tr>
    </w:tbl>
    <w:p>
      <w:pPr>
        <w:pStyle w:val="TextBody"/>
        <w:bidi w:val="0"/>
        <w:spacing w:before="0" w:after="200"/>
        <w:ind w:left="0" w:right="0" w:hanging="0"/>
        <w:jc w:val="left"/>
        <w:rPr>
          <w:color w:val="212529"/>
          <w:shd w:fill="FFFFFF" w:val="clear"/>
        </w:rPr>
      </w:pPr>
      <w:r>
        <w:rPr>
          <w:color w:val="212529"/>
          <w:shd w:fill="FFFFFF" w:val="clear"/>
        </w:rPr>
        <w:t>​</w:t>
      </w:r>
    </w:p>
    <w:p>
      <w:pPr>
        <w:pStyle w:val="TextBody"/>
        <w:bidi w:val="0"/>
        <w:spacing w:before="0" w:after="0"/>
        <w:ind w:left="0" w:right="0" w:hanging="0"/>
        <w:jc w:val="left"/>
        <w:rPr>
          <w:color w:val="212529"/>
          <w:shd w:fill="FFFFFF" w:val="clear"/>
        </w:rPr>
      </w:pPr>
      <w:r>
        <w:rPr>
          <w:color w:val="212529"/>
          <w:shd w:fill="FFFFFF" w:val="clear"/>
        </w:rPr>
        <w:t>​</w:t>
      </w:r>
    </w:p>
    <w:p>
      <w:pPr>
        <w:pStyle w:val="TextBody"/>
        <w:bidi w:val="0"/>
        <w:spacing w:before="0" w:after="240"/>
        <w:ind w:left="0" w:right="0" w:hanging="0"/>
        <w:jc w:val="left"/>
        <w:rPr/>
      </w:pPr>
      <w:r>
        <w:rPr/>
        <w:t>​</w:t>
      </w:r>
    </w:p>
    <w:p>
      <w:pPr>
        <w:pStyle w:val="TextBody"/>
        <w:shd w:fill="FFFFFF" w:val="clear"/>
        <w:bidi w:val="0"/>
        <w:spacing w:before="0" w:after="200"/>
        <w:ind w:left="0" w:right="0" w:hanging="0"/>
        <w:jc w:val="center"/>
        <w:rPr>
          <w:rFonts w:ascii="Times New Roman;Times;serif" w:hAnsi="Times New Roman;Times;serif"/>
          <w:b/>
          <w:sz w:val="20"/>
        </w:rPr>
      </w:pPr>
      <w:bookmarkStart w:id="37" w:name="_d3953ae3_a491_4e00_b18a_9450ad2ec2e2"/>
      <w:bookmarkEnd w:id="37"/>
      <w:r>
        <w:rPr>
          <w:rFonts w:ascii="Times New Roman;Times;serif" w:hAnsi="Times New Roman;Times;serif"/>
          <w:b/>
          <w:sz w:val="20"/>
        </w:rPr>
        <w:t>Signature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4353" w:type="dxa"/>
        <w:jc w:val="left"/>
        <w:tblInd w:w="0" w:type="dxa"/>
        <w:tblLayout w:type="fixed"/>
        <w:tblCellMar>
          <w:top w:w="0" w:type="dxa"/>
          <w:left w:w="0" w:type="dxa"/>
          <w:bottom w:w="0" w:type="dxa"/>
          <w:right w:w="0" w:type="dxa"/>
        </w:tblCellMar>
      </w:tblPr>
      <w:tblGrid>
        <w:gridCol w:w="1711"/>
        <w:gridCol w:w="631"/>
        <w:gridCol w:w="2011"/>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086485" cy="175260"/>
                      <wp:effectExtent l="0" t="0" r="0" b="0"/>
                      <wp:wrapNone/>
                      <wp:docPr id="17" name="Frame17"/>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00685" cy="175260"/>
                      <wp:effectExtent l="0" t="0" r="0" b="0"/>
                      <wp:wrapNone/>
                      <wp:docPr id="18" name="Frame1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76985" cy="175260"/>
                      <wp:effectExtent l="0" t="0" r="0" b="0"/>
                      <wp:wrapNone/>
                      <wp:docPr id="19" name="Frame19"/>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PTC Therapeutics, Inc.</w:t>
            </w:r>
          </w:p>
        </w:tc>
      </w:tr>
      <w:tr>
        <w:trPr/>
        <w:tc>
          <w:tcPr>
            <w:tcW w:w="1711" w:type="dxa"/>
            <w:tcBorders/>
            <w:vAlign w:val="center"/>
          </w:tcPr>
          <w:p>
            <w:pPr>
              <w:pStyle w:val="TableContents"/>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Pierre Gravier</w:t>
            </w:r>
          </w:p>
        </w:tc>
      </w:tr>
      <w:tr>
        <w:trPr/>
        <w:tc>
          <w:tcPr>
            <w:tcW w:w="17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Pierre Gravier</w:t>
            </w:r>
          </w:p>
        </w:tc>
      </w:tr>
      <w:tr>
        <w:trPr/>
        <w:tc>
          <w:tcPr>
            <w:tcW w:w="17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lineRule="auto" w:line="285" w:before="0" w:after="0"/>
        <w:ind w:left="0" w:right="0" w:hanging="0"/>
        <w:jc w:val="right"/>
        <w:rPr>
          <w:rFonts w:ascii="Arial;Helvetica;sans-serif" w:hAnsi="Arial;Helvetica;sans-serif"/>
          <w:b/>
          <w:sz w:val="20"/>
        </w:rPr>
      </w:pPr>
      <w:bookmarkStart w:id="38" w:name="tmb-20260728xex99d1.htm"/>
      <w:bookmarkStart w:id="39" w:name="kstmb20260728xex99d1"/>
      <w:bookmarkEnd w:id="38"/>
      <w:bookmarkEnd w:id="39"/>
      <w:r>
        <w:rPr>
          <w:rFonts w:ascii="Arial;Helvetica;sans-serif" w:hAnsi="Arial;Helvetica;sans-serif"/>
          <w:b/>
          <w:sz w:val="20"/>
        </w:rPr>
        <w:t>Exhibit 99.1</w:t>
      </w:r>
      <w:r>
        <mc:AlternateContent>
          <mc:Choice Requires="wps">
            <w:drawing>
              <wp:anchor behindDoc="0" distT="0" distB="0" distL="57150" distR="114300" simplePos="0" locked="0" layoutInCell="1" allowOverlap="1" relativeHeight="3">
                <wp:simplePos x="0" y="0"/>
                <wp:positionH relativeFrom="column">
                  <wp:align>left</wp:align>
                </wp:positionH>
                <wp:positionV relativeFrom="line">
                  <wp:posOffset>635</wp:posOffset>
                </wp:positionV>
                <wp:extent cx="1069975" cy="652145"/>
                <wp:effectExtent l="0" t="0" r="0" b="0"/>
                <wp:wrapSquare wrapText="right"/>
                <wp:docPr id="20" name="Frame20"/>
                <a:graphic xmlns:a="http://schemas.openxmlformats.org/drawingml/2006/main">
                  <a:graphicData uri="http://schemas.microsoft.com/office/word/2010/wordprocessingShape">
                    <wps:wsp>
                      <wps:cNvSpPr txBox="1"/>
                      <wps:spPr>
                        <a:xfrm>
                          <a:off x="0" y="0"/>
                          <a:ext cx="1069975" cy="652145"/>
                        </a:xfrm>
                        <a:prstGeom prst="rect"/>
                        <a:solidFill>
                          <a:srgbClr val="FFFFFF"/>
                        </a:solidFill>
                      </wps:spPr>
                      <wps:txbx>
                        <w:txbxContent>
                          <w:p>
                            <w:pPr>
                              <w:pStyle w:val="TextBody"/>
                              <w:bidi w:val="0"/>
                              <w:spacing w:before="0" w:after="0"/>
                              <w:jc w:val="left"/>
                              <w:rPr/>
                            </w:pPr>
                            <w:r>
                              <w:rPr/>
                              <w:drawing>
                                <wp:inline distT="0" distB="0" distL="0" distR="0">
                                  <wp:extent cx="1069975" cy="652145"/>
                                  <wp:effectExtent l="0" t="0" r="0" b="0"/>
                                  <wp:docPr id="2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 descr=""/>
                                          <pic:cNvPicPr>
                                            <a:picLocks noChangeAspect="1" noChangeArrowheads="1"/>
                                          </pic:cNvPicPr>
                                        </pic:nvPicPr>
                                        <pic:blipFill>
                                          <a:blip r:embed="rId2"/>
                                          <a:stretch>
                                            <a:fillRect/>
                                          </a:stretch>
                                        </pic:blipFill>
                                        <pic:spPr bwMode="auto">
                                          <a:xfrm>
                                            <a:off x="0" y="0"/>
                                            <a:ext cx="1069975" cy="652145"/>
                                          </a:xfrm>
                                          <a:prstGeom prst="rect">
                                            <a:avLst/>
                                          </a:prstGeom>
                                        </pic:spPr>
                                      </pic:pic>
                                    </a:graphicData>
                                  </a:graphic>
                                </wp:inline>
                              </w:drawing>
                            </w:r>
                            <w:r>
                              <w:br w:type="page"/>
                            </w:r>
                          </w:p>
                        </w:txbxContent>
                      </wps:txbx>
                      <wps:bodyPr anchor="t" lIns="0" tIns="0" rIns="0" bIns="0">
                        <a:noAutofit/>
                      </wps:bodyPr>
                    </wps:wsp>
                  </a:graphicData>
                </a:graphic>
              </wp:anchor>
            </w:drawing>
          </mc:Choice>
          <mc:Fallback>
            <w:pict>
              <v:rect style="position:absolute;rotation:-0;width:84.25pt;height:51.35pt;mso-wrap-distance-left:4.5pt;mso-wrap-distance-right:9pt;mso-wrap-distance-top:0pt;mso-wrap-distance-bottom:0pt;margin-top:0pt;mso-position-vertical:top;mso-position-vertical-relative:text;margin-left:4.5pt;mso-position-horizontal:left;mso-position-horizontal-relative:text">
                <v:textbox>
                  <w:txbxContent>
                    <w:p>
                      <w:pPr>
                        <w:pStyle w:val="TextBody"/>
                        <w:bidi w:val="0"/>
                        <w:spacing w:before="0" w:after="0"/>
                        <w:jc w:val="left"/>
                        <w:rPr/>
                      </w:pPr>
                      <w:r>
                        <w:rPr/>
                        <w:drawing>
                          <wp:inline distT="0" distB="0" distL="0" distR="0">
                            <wp:extent cx="1069975" cy="652145"/>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3"/>
                                    <a:stretch>
                                      <a:fillRect/>
                                    </a:stretch>
                                  </pic:blipFill>
                                  <pic:spPr bwMode="auto">
                                    <a:xfrm>
                                      <a:off x="0" y="0"/>
                                      <a:ext cx="1069975" cy="652145"/>
                                    </a:xfrm>
                                    <a:prstGeom prst="rect">
                                      <a:avLst/>
                                    </a:prstGeom>
                                  </pic:spPr>
                                </pic:pic>
                              </a:graphicData>
                            </a:graphic>
                          </wp:inline>
                        </w:drawing>
                      </w:r>
                    </w:p>
                  </w:txbxContent>
                </v:textbox>
                <w10:wrap type="square" side="right"/>
              </v:rect>
            </w:pict>
          </mc:Fallback>
        </mc:AlternateConten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Helvetica;sans-serif" w:hAnsi="Helvetica;sans-serif"/>
          <w:sz w:val="20"/>
        </w:rPr>
      </w:pPr>
      <w:r>
        <w:rPr>
          <w:rFonts w:ascii="Arial;Helvetica;sans-serif" w:hAnsi="Arial;Helvetica;sans-serif"/>
          <w:b/>
          <w:sz w:val="20"/>
        </w:rPr>
        <w:t>PTC Therapeutics Provides Corporate Update and Reports Second Quarter 2026 Financial Results</w:t>
      </w:r>
      <w:r>
        <w:rPr>
          <w:rFonts w:ascii="Helvetica;sans-serif" w:hAnsi="Helvetica;sans-serif"/>
          <w:sz w:val="20"/>
        </w:rPr>
        <w:t>  </w:t>
      </w:r>
      <w:r>
        <w:rPr>
          <w:rFonts w:ascii="Arial;Helvetica;sans-serif" w:hAnsi="Arial;Helvetica;sans-serif"/>
          <w:sz w:val="20"/>
        </w:rPr>
        <w:br/>
      </w:r>
      <w:r>
        <w:rPr>
          <w:rFonts w:ascii="Helvetica;sans-serif" w:hAnsi="Helvetica;sans-serif"/>
          <w:sz w:val="20"/>
          <w:shd w:fill="FF00FF" w:val="clear"/>
        </w:rPr>
        <w:t>​</w:t>
      </w:r>
    </w:p>
    <w:p>
      <w:pPr>
        <w:pStyle w:val="TextBody"/>
        <w:pBdr/>
        <w:bidi w:val="0"/>
        <w:spacing w:lineRule="auto" w:line="285" w:before="0" w:after="0"/>
        <w:ind w:left="0" w:right="0" w:hanging="720"/>
        <w:jc w:val="center"/>
        <w:rPr/>
      </w:pPr>
      <w:r>
        <w:rPr/>
        <w:t xml:space="preserve">– </w:t>
      </w:r>
      <w:r>
        <w:rPr>
          <w:rFonts w:ascii="Arial;Helvetica;sans-serif" w:hAnsi="Arial;Helvetica;sans-serif"/>
          <w:i/>
          <w:sz w:val="20"/>
        </w:rPr>
        <w:t xml:space="preserve">Robust Q2 performance with total revenue of $361 million, including $239 million of product revenue – </w:t>
      </w:r>
    </w:p>
    <w:p>
      <w:pPr>
        <w:pStyle w:val="TextBody"/>
        <w:pBdr/>
        <w:bidi w:val="0"/>
        <w:spacing w:lineRule="auto" w:line="307" w:before="0" w:after="160"/>
        <w:ind w:left="0" w:right="0" w:hanging="720"/>
        <w:jc w:val="center"/>
        <w:rPr/>
      </w:pPr>
      <w:r>
        <w:rPr/>
        <w:t>​</w:t>
      </w:r>
    </w:p>
    <w:p>
      <w:pPr>
        <w:pStyle w:val="TextBody"/>
        <w:pBdr/>
        <w:bidi w:val="0"/>
        <w:spacing w:lineRule="auto" w:line="285" w:before="0" w:after="0"/>
        <w:ind w:left="0" w:right="0" w:hanging="720"/>
        <w:jc w:val="center"/>
        <w:rPr/>
      </w:pPr>
      <w:r>
        <w:rPr/>
        <w:t xml:space="preserve">– </w:t>
      </w:r>
      <w:r>
        <w:rPr>
          <w:rFonts w:ascii="Arial;Helvetica;sans-serif" w:hAnsi="Arial;Helvetica;sans-serif"/>
          <w:i/>
          <w:sz w:val="20"/>
        </w:rPr>
        <w:t>Full-year 2026 expected total revenue increased to $1.18 to $1.28 billion, with full-year product revenue guidance raised to $850 to $950 million –</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center"/>
        <w:rPr/>
      </w:pPr>
      <w:r>
        <w:rPr/>
        <w:t xml:space="preserve">– </w:t>
      </w:r>
      <w:r>
        <w:rPr>
          <w:rFonts w:ascii="Arial;Helvetica;sans-serif" w:hAnsi="Arial;Helvetica;sans-serif"/>
          <w:i/>
          <w:sz w:val="20"/>
        </w:rPr>
        <w:t>Sephience™ (sepiapterin)</w:t>
      </w:r>
      <w:r>
        <w:rPr>
          <w:rFonts w:ascii="Helvetica;sans-serif" w:hAnsi="Helvetica;sans-serif"/>
          <w:sz w:val="20"/>
        </w:rPr>
        <w:t xml:space="preserve"> </w:t>
      </w:r>
      <w:r>
        <w:rPr>
          <w:rFonts w:ascii="Arial;Helvetica;sans-serif" w:hAnsi="Arial;Helvetica;sans-serif"/>
          <w:i/>
          <w:sz w:val="20"/>
        </w:rPr>
        <w:t>Q2 2026 revenue of $151 million, with continued broad uptake and geographical expansion</w:t>
      </w:r>
      <w:r>
        <w:rPr>
          <w:rFonts w:ascii="Helvetica;sans-serif" w:hAnsi="Helvetica;sans-serif"/>
          <w:sz w:val="20"/>
        </w:rPr>
        <w:t xml:space="preserve"> – </w:t>
      </w:r>
    </w:p>
    <w:p>
      <w:pPr>
        <w:pStyle w:val="TextBody"/>
        <w:pBdr/>
        <w:bidi w:val="0"/>
        <w:spacing w:lineRule="auto" w:line="307" w:before="0" w:after="160"/>
        <w:ind w:left="0" w:right="0" w:hanging="720"/>
        <w:jc w:val="center"/>
        <w:rPr/>
      </w:pPr>
      <w:r>
        <w:rPr/>
        <w:t>​</w:t>
      </w:r>
    </w:p>
    <w:p>
      <w:pPr>
        <w:pStyle w:val="TextBody"/>
        <w:pBdr/>
        <w:bidi w:val="0"/>
        <w:spacing w:lineRule="auto" w:line="285" w:before="0" w:after="0"/>
        <w:ind w:left="0" w:right="0" w:hanging="720"/>
        <w:jc w:val="center"/>
        <w:rPr/>
      </w:pPr>
      <w:r>
        <w:rPr/>
        <w:t xml:space="preserve">– </w:t>
      </w:r>
      <w:r>
        <w:rPr>
          <w:rFonts w:ascii="Arial;Helvetica;sans-serif" w:hAnsi="Arial;Helvetica;sans-serif"/>
          <w:i/>
          <w:sz w:val="20"/>
        </w:rPr>
        <w:t>Strong cash position of $2.2 billion as of June 30, 2026 –</w:t>
      </w:r>
    </w:p>
    <w:p>
      <w:pPr>
        <w:pStyle w:val="TextBody"/>
        <w:pBdr/>
        <w:bidi w:val="0"/>
        <w:spacing w:lineRule="auto" w:line="307" w:before="0" w:after="160"/>
        <w:ind w:left="0" w:right="0" w:hanging="720"/>
        <w:jc w:val="center"/>
        <w:rPr/>
      </w:pPr>
      <w:r>
        <w:rPr/>
        <w:t>​</w:t>
      </w:r>
    </w:p>
    <w:p>
      <w:pPr>
        <w:pStyle w:val="TextBody"/>
        <w:bidi w:val="0"/>
        <w:spacing w:lineRule="auto" w:line="328" w:before="0" w:after="0"/>
        <w:ind w:left="0" w:right="0" w:hanging="0"/>
        <w:jc w:val="left"/>
        <w:rPr>
          <w:rFonts w:ascii="Helvetica;sans-serif" w:hAnsi="Helvetica;sans-serif"/>
          <w:sz w:val="20"/>
        </w:rPr>
      </w:pPr>
      <w:r>
        <w:rPr>
          <w:rFonts w:ascii="Arial;Helvetica;sans-serif" w:hAnsi="Arial;Helvetica;sans-serif"/>
          <w:b/>
          <w:sz w:val="20"/>
        </w:rPr>
        <w:t>WARREN, N.J., July 30, 2026</w:t>
      </w:r>
      <w:r>
        <w:rPr>
          <w:rFonts w:ascii="Helvetica;sans-serif" w:hAnsi="Helvetica;sans-serif"/>
          <w:sz w:val="20"/>
        </w:rPr>
        <w:t xml:space="preserve"> – </w:t>
      </w:r>
      <w:r>
        <w:rPr>
          <w:rFonts w:ascii="Arial;Helvetica;sans-serif" w:hAnsi="Arial;Helvetica;sans-serif"/>
          <w:sz w:val="20"/>
        </w:rPr>
        <w:t>PTC Therapeutics, Inc., (NASDAQ: PTCT) today announced a corporate update and financial results for the second quarter ended June 30, 2026.  </w:t>
      </w:r>
    </w:p>
    <w:p>
      <w:pPr>
        <w:pStyle w:val="TextBody"/>
        <w:bidi w:val="0"/>
        <w:spacing w:lineRule="auto" w:line="307" w:before="0" w:after="160"/>
        <w:ind w:left="0" w:right="0" w:hanging="0"/>
        <w:jc w:val="left"/>
        <w:rPr/>
      </w:pPr>
      <w:r>
        <w:rPr/>
        <w:t>​</w:t>
      </w:r>
    </w:p>
    <w:p>
      <w:pPr>
        <w:pStyle w:val="TextBody"/>
        <w:bidi w:val="0"/>
        <w:spacing w:lineRule="auto" w:line="328" w:before="0" w:after="0"/>
        <w:ind w:left="0" w:right="0" w:hanging="0"/>
        <w:jc w:val="left"/>
        <w:rPr/>
      </w:pPr>
      <w:r>
        <w:rPr/>
        <w:t>“</w:t>
      </w:r>
      <w:r>
        <w:rPr>
          <w:rFonts w:ascii="Arial;Helvetica;sans-serif" w:hAnsi="Arial;Helvetica;sans-serif"/>
          <w:sz w:val="20"/>
        </w:rPr>
        <w:t>Our teams delivered another strong quarter enabling us to again raise 2026 product revenue guidance," said Matthew B. Klein, M.D., Chief Executive Officer. “We also made a number of advances in our R&amp;D pipeline, including identification of our next small molecule splicing development candidate, PTC303, targeting somatic expansion disorders including Huntington’s disease and myotonic dystrophy. In addition, we initiated the Phase 1 study of PTC612, our differentiated NLRP3 small molecule.”</w:t>
      </w:r>
    </w:p>
    <w:p>
      <w:pPr>
        <w:pStyle w:val="TextBody"/>
        <w:bidi w:val="0"/>
        <w:spacing w:lineRule="auto" w:line="307" w:before="0" w:after="160"/>
        <w:ind w:left="0" w:right="0" w:hanging="0"/>
        <w:jc w:val="left"/>
        <w:rPr/>
      </w:pPr>
      <w:r>
        <w:rPr/>
        <w:t>​</w:t>
      </w:r>
    </w:p>
    <w:p>
      <w:pPr>
        <w:pStyle w:val="TextBody"/>
        <w:bidi w:val="0"/>
        <w:spacing w:lineRule="auto" w:line="285" w:before="0" w:after="160"/>
        <w:ind w:left="0" w:right="0" w:hanging="0"/>
        <w:jc w:val="left"/>
        <w:rPr>
          <w:rFonts w:ascii="Helvetica;sans-serif" w:hAnsi="Helvetica;sans-serif"/>
          <w:sz w:val="20"/>
        </w:rPr>
      </w:pPr>
      <w:r>
        <w:rPr>
          <w:rFonts w:ascii="Arial;Helvetica;sans-serif" w:hAnsi="Arial;Helvetica;sans-serif"/>
          <w:b/>
          <w:sz w:val="20"/>
        </w:rPr>
        <w:t>Key Corporate Updates</w:t>
      </w:r>
      <w:r>
        <w:rPr>
          <w:rFonts w:ascii="Helvetica;sans-serif" w:hAnsi="Helvetica;sans-serif"/>
          <w:sz w:val="20"/>
        </w:rPr>
        <w:t>  </w:t>
      </w:r>
    </w:p>
    <w:p>
      <w:pPr>
        <w:pStyle w:val="TextBody"/>
        <w:bidi w:val="0"/>
        <w:spacing w:lineRule="auto" w:line="285" w:before="0" w:after="0"/>
        <w:ind w:left="0" w:right="0" w:hanging="0"/>
        <w:jc w:val="left"/>
        <w:rPr/>
      </w:pPr>
      <w:r>
        <w:rPr/>
        <w:t>●</w:t>
      </w:r>
      <w:r>
        <w:rPr>
          <w:rFonts w:ascii="Arial;Helvetica;sans-serif" w:hAnsi="Arial;Helvetica;sans-serif"/>
          <w:sz w:val="20"/>
        </w:rPr>
        <w:t xml:space="preserve">Q2 2026 total revenue of $361 million, including $239 million of product revenue </w:t>
      </w:r>
    </w:p>
    <w:p>
      <w:pPr>
        <w:pStyle w:val="TextBody"/>
        <w:bidi w:val="0"/>
        <w:spacing w:lineRule="auto" w:line="285" w:before="0" w:after="0"/>
        <w:ind w:left="0" w:right="0" w:hanging="0"/>
        <w:jc w:val="left"/>
        <w:rPr/>
      </w:pPr>
      <w:r>
        <w:rPr/>
        <w:t>●</w:t>
      </w:r>
      <w:r>
        <w:rPr>
          <w:rFonts w:ascii="Arial;Helvetica;sans-serif" w:hAnsi="Arial;Helvetica;sans-serif"/>
          <w:sz w:val="20"/>
        </w:rPr>
        <w:t xml:space="preserve">Sephience global launch continues with strong momentum </w:t>
      </w:r>
    </w:p>
    <w:p>
      <w:pPr>
        <w:pStyle w:val="TextBody"/>
        <w:bidi w:val="0"/>
        <w:spacing w:lineRule="auto" w:line="285" w:before="0" w:after="0"/>
        <w:ind w:left="360" w:right="0" w:hanging="0"/>
        <w:jc w:val="left"/>
        <w:rPr>
          <w:rFonts w:ascii="Aptos" w:hAnsi="Aptos"/>
          <w:sz w:val="24"/>
        </w:rPr>
      </w:pPr>
      <w:r>
        <w:rPr>
          <w:rFonts w:ascii="Courier New" w:hAnsi="Courier New"/>
          <w:sz w:val="20"/>
        </w:rPr>
        <w:t>o</w:t>
      </w:r>
      <w:r>
        <w:rPr>
          <w:rFonts w:ascii="Arial;Helvetica;sans-serif" w:hAnsi="Arial;Helvetica;sans-serif"/>
          <w:sz w:val="20"/>
        </w:rPr>
        <w:t xml:space="preserve">Q2 2026 revenue of $151 million, with the majority from the US and increasing contributions internationally </w:t>
      </w:r>
    </w:p>
    <w:p>
      <w:pPr>
        <w:pStyle w:val="TextBody"/>
        <w:bidi w:val="0"/>
        <w:spacing w:lineRule="auto" w:line="285" w:before="0" w:after="0"/>
        <w:ind w:left="360" w:right="0" w:hanging="0"/>
        <w:jc w:val="left"/>
        <w:rPr>
          <w:rFonts w:ascii="Aptos" w:hAnsi="Aptos"/>
          <w:sz w:val="24"/>
        </w:rPr>
      </w:pPr>
      <w:r>
        <w:rPr>
          <w:rFonts w:ascii="Courier New" w:hAnsi="Courier New"/>
          <w:sz w:val="20"/>
        </w:rPr>
        <w:t>o</w:t>
      </w:r>
      <w:r>
        <w:rPr>
          <w:rFonts w:ascii="Arial;Helvetica;sans-serif" w:hAnsi="Arial;Helvetica;sans-serif"/>
          <w:sz w:val="20"/>
        </w:rPr>
        <w:t>1,647 patients on commercial therapy worldwide</w:t>
      </w:r>
      <w:r>
        <w:rPr>
          <w:rFonts w:ascii="Aptos" w:hAnsi="Aptos"/>
          <w:sz w:val="24"/>
        </w:rPr>
        <w:t xml:space="preserve"> </w:t>
      </w:r>
      <w:r>
        <w:rPr>
          <w:rFonts w:ascii="Arial;Helvetica;sans-serif" w:hAnsi="Arial;Helvetica;sans-serif"/>
          <w:sz w:val="20"/>
        </w:rPr>
        <w:t>as of June 30, 2026</w:t>
      </w:r>
    </w:p>
    <w:p>
      <w:pPr>
        <w:pStyle w:val="TextBody"/>
        <w:bidi w:val="0"/>
        <w:spacing w:lineRule="auto" w:line="285" w:before="0" w:after="0"/>
        <w:ind w:left="0" w:right="0" w:hanging="0"/>
        <w:jc w:val="left"/>
        <w:rPr/>
      </w:pPr>
      <w:r>
        <w:rPr/>
        <w:t>●</w:t>
      </w:r>
      <w:r>
        <w:rPr>
          <w:rFonts w:ascii="Arial;Helvetica;sans-serif" w:hAnsi="Arial;Helvetica;sans-serif"/>
          <w:sz w:val="20"/>
        </w:rPr>
        <w:t xml:space="preserve">Positive results from votoplam PIVOT-HD long-term extension study reported and enrollment in global Phase 3 INVEST-HD study ongoing </w:t>
      </w:r>
    </w:p>
    <w:p>
      <w:pPr>
        <w:pStyle w:val="TextBody"/>
        <w:bidi w:val="0"/>
        <w:spacing w:lineRule="auto" w:line="285" w:before="0" w:after="0"/>
        <w:ind w:left="360" w:right="0" w:hanging="0"/>
        <w:jc w:val="left"/>
        <w:rPr>
          <w:rFonts w:ascii="Helvetica;sans-serif" w:hAnsi="Helvetica;sans-serif"/>
          <w:sz w:val="22"/>
        </w:rPr>
      </w:pPr>
      <w:r>
        <w:rPr>
          <w:rFonts w:ascii="Courier New" w:hAnsi="Courier New"/>
          <w:sz w:val="20"/>
        </w:rPr>
        <w:t>o</w:t>
      </w:r>
      <w:r>
        <w:rPr>
          <w:rFonts w:ascii="Arial;Helvetica;sans-serif" w:hAnsi="Arial;Helvetica;sans-serif"/>
          <w:sz w:val="20"/>
        </w:rPr>
        <w:t xml:space="preserve">PIVOT-HD 24-month results demonstrated dose-dependent disease slowing on cUHDRS scale in Stage 2 participants, reaching 52% at 10 mg dose level </w:t>
      </w:r>
    </w:p>
    <w:p>
      <w:pPr>
        <w:pStyle w:val="TextBody"/>
        <w:bidi w:val="0"/>
        <w:spacing w:lineRule="auto" w:line="285" w:before="0" w:after="0"/>
        <w:ind w:left="360" w:right="0" w:hanging="0"/>
        <w:jc w:val="left"/>
        <w:rPr>
          <w:rFonts w:ascii="Helvetica;sans-serif" w:hAnsi="Helvetica;sans-serif"/>
          <w:sz w:val="22"/>
        </w:rPr>
      </w:pPr>
      <w:r>
        <w:rPr>
          <w:rFonts w:ascii="Courier New" w:hAnsi="Courier New"/>
          <w:sz w:val="20"/>
        </w:rPr>
        <w:t>o</w:t>
      </w:r>
      <w:r>
        <w:rPr>
          <w:rFonts w:ascii="Arial;Helvetica;sans-serif" w:hAnsi="Arial;Helvetica;sans-serif"/>
          <w:sz w:val="20"/>
        </w:rPr>
        <w:t xml:space="preserve">Plan to engage with FDA in 2H 2026 to discuss PIVOT-HD 24-month results being finalized </w:t>
      </w:r>
    </w:p>
    <w:p>
      <w:pPr>
        <w:pStyle w:val="TextBody"/>
        <w:bidi w:val="0"/>
        <w:spacing w:lineRule="auto" w:line="285" w:before="0" w:after="0"/>
        <w:ind w:left="360" w:right="0" w:hanging="0"/>
        <w:jc w:val="left"/>
        <w:rPr>
          <w:rFonts w:ascii="Helvetica;sans-serif" w:hAnsi="Helvetica;sans-serif"/>
          <w:sz w:val="22"/>
        </w:rPr>
      </w:pPr>
      <w:r>
        <w:rPr>
          <w:rFonts w:ascii="Courier New" w:hAnsi="Courier New"/>
          <w:sz w:val="20"/>
        </w:rPr>
        <w:t>o</w:t>
      </w:r>
      <w:r>
        <w:rPr>
          <w:rFonts w:ascii="Arial;Helvetica;sans-serif" w:hAnsi="Arial;Helvetica;sans-serif"/>
          <w:sz w:val="20"/>
        </w:rPr>
        <w:t xml:space="preserve">INVEST-HD study being conducted and funded by partner Novartis with target enrollment of approximately 770 individuals with early symptomatic disease </w:t>
      </w:r>
    </w:p>
    <w:p>
      <w:pPr>
        <w:pStyle w:val="TextBody"/>
        <w:bidi w:val="0"/>
        <w:spacing w:lineRule="auto" w:line="285" w:before="0" w:after="0"/>
        <w:ind w:left="360" w:right="0" w:hanging="0"/>
        <w:jc w:val="left"/>
        <w:rPr>
          <w:rFonts w:ascii="Helvetica;sans-serif" w:hAnsi="Helvetica;sans-serif"/>
          <w:sz w:val="22"/>
        </w:rPr>
      </w:pPr>
      <w:r>
        <w:rPr>
          <w:rFonts w:ascii="Courier New" w:hAnsi="Courier New"/>
          <w:sz w:val="20"/>
        </w:rPr>
        <w:t>o</w:t>
      </w:r>
      <w:r>
        <w:rPr>
          <w:rFonts w:ascii="Arial;Helvetica;sans-serif" w:hAnsi="Arial;Helvetica;sans-serif"/>
          <w:sz w:val="20"/>
        </w:rPr>
        <w:t>INVEST-HD initiation triggered a $50 million milestone payment from Novartis to PTC in Q2 2026</w:t>
      </w:r>
    </w:p>
    <w:p>
      <w:pPr>
        <w:pStyle w:val="TextBody"/>
        <w:bidi w:val="0"/>
        <w:spacing w:lineRule="auto" w:line="285" w:before="0" w:after="0"/>
        <w:ind w:left="0" w:right="0" w:hanging="0"/>
        <w:jc w:val="left"/>
        <w:rPr/>
      </w:pPr>
      <w:r>
        <w:rPr/>
        <w:t>●</w:t>
      </w:r>
      <w:r>
        <w:rPr>
          <w:rFonts w:ascii="Arial;Helvetica;sans-serif" w:hAnsi="Arial;Helvetica;sans-serif"/>
          <w:sz w:val="20"/>
        </w:rPr>
        <w:t>Vatiquinone PROVE-FA study to support NDA resubmission for treatment of Friedreich’s ataxia expected to initiate in Q3 2026</w:t>
      </w:r>
    </w:p>
    <w:p>
      <w:pPr>
        <w:pStyle w:val="TextBody"/>
        <w:bidi w:val="0"/>
        <w:spacing w:lineRule="auto" w:line="285" w:before="0" w:after="0"/>
        <w:ind w:left="360" w:right="0" w:hanging="0"/>
        <w:jc w:val="left"/>
        <w:rPr>
          <w:rFonts w:ascii="Helvetica;sans-serif" w:hAnsi="Helvetica;sans-serif"/>
          <w:sz w:val="22"/>
        </w:rPr>
      </w:pPr>
      <w:r>
        <w:rPr>
          <w:rFonts w:ascii="Courier New" w:hAnsi="Courier New"/>
          <w:sz w:val="20"/>
        </w:rPr>
        <w:t>o</w:t>
      </w:r>
      <w:r>
        <w:rPr>
          <w:rFonts w:ascii="Arial;Helvetica;sans-serif" w:hAnsi="Arial;Helvetica;sans-serif"/>
          <w:sz w:val="20"/>
        </w:rPr>
        <w:t xml:space="preserve">Global study will enroll approximately 120 individuals with Friedreich’s ataxia age 7 to 21 </w:t>
      </w:r>
    </w:p>
    <w:p>
      <w:pPr>
        <w:pStyle w:val="TextBody"/>
        <w:bidi w:val="0"/>
        <w:spacing w:lineRule="auto" w:line="285" w:before="0" w:after="0"/>
        <w:ind w:left="360" w:right="0" w:hanging="0"/>
        <w:jc w:val="left"/>
        <w:rPr>
          <w:rFonts w:ascii="Helvetica;sans-serif" w:hAnsi="Helvetica;sans-serif"/>
          <w:sz w:val="22"/>
        </w:rPr>
      </w:pPr>
      <w:r>
        <w:rPr>
          <w:rFonts w:ascii="Courier New" w:hAnsi="Courier New"/>
          <w:sz w:val="20"/>
        </w:rPr>
        <w:t>o</w:t>
      </w:r>
      <w:r>
        <w:rPr>
          <w:rFonts w:ascii="Arial;Helvetica;sans-serif" w:hAnsi="Arial;Helvetica;sans-serif"/>
          <w:sz w:val="20"/>
        </w:rPr>
        <w:t>Study includes open-label treatment arm with matched natural history control group</w:t>
      </w:r>
    </w:p>
    <w:p>
      <w:pPr>
        <w:pStyle w:val="TextBody"/>
        <w:bidi w:val="0"/>
        <w:spacing w:lineRule="auto" w:line="285" w:before="0" w:after="0"/>
        <w:ind w:left="0" w:right="0" w:hanging="0"/>
        <w:jc w:val="left"/>
        <w:rPr/>
      </w:pPr>
      <w:r>
        <w:rPr/>
        <w:t>●</w:t>
      </w:r>
      <w:r>
        <w:rPr>
          <w:rFonts w:ascii="Arial;Helvetica;sans-serif" w:hAnsi="Arial;Helvetica;sans-serif"/>
          <w:sz w:val="20"/>
        </w:rPr>
        <w:t>PTC pipeline continues to advance</w:t>
      </w:r>
    </w:p>
    <w:p>
      <w:pPr>
        <w:pStyle w:val="TextBody"/>
        <w:bidi w:val="0"/>
        <w:spacing w:lineRule="auto" w:line="285" w:before="0" w:after="0"/>
        <w:ind w:left="360" w:right="0" w:hanging="0"/>
        <w:jc w:val="left"/>
        <w:rPr>
          <w:rFonts w:ascii="Helvetica;sans-serif" w:hAnsi="Helvetica;sans-serif"/>
          <w:sz w:val="22"/>
        </w:rPr>
      </w:pPr>
      <w:r>
        <w:rPr>
          <w:rFonts w:ascii="Courier New" w:hAnsi="Courier New"/>
          <w:sz w:val="20"/>
        </w:rPr>
        <w:t>o</w:t>
      </w:r>
      <w:r>
        <w:rPr>
          <w:rFonts w:ascii="Arial;Helvetica;sans-serif" w:hAnsi="Arial;Helvetica;sans-serif"/>
          <w:sz w:val="20"/>
        </w:rPr>
        <w:t>PTC303 named as MSH3 splicing program development candidate targeting Huntington’s disease and myotonic dystrophy with plan to enter clinic in 2027</w:t>
      </w:r>
    </w:p>
    <w:p>
      <w:pPr>
        <w:pStyle w:val="TextBody"/>
        <w:bidi w:val="0"/>
        <w:spacing w:lineRule="auto" w:line="285" w:before="0" w:after="0"/>
        <w:ind w:left="360" w:right="0" w:hanging="0"/>
        <w:jc w:val="left"/>
        <w:rPr>
          <w:rFonts w:ascii="Helvetica;sans-serif" w:hAnsi="Helvetica;sans-serif"/>
          <w:sz w:val="22"/>
        </w:rPr>
      </w:pPr>
      <w:r>
        <w:rPr>
          <w:rFonts w:ascii="Courier New" w:hAnsi="Courier New"/>
          <w:sz w:val="20"/>
        </w:rPr>
        <w:t>o</w:t>
      </w:r>
      <w:r>
        <w:rPr>
          <w:rFonts w:ascii="Arial;Helvetica;sans-serif" w:hAnsi="Arial;Helvetica;sans-serif"/>
          <w:sz w:val="20"/>
        </w:rPr>
        <w:t xml:space="preserve">Phase 1 study of PTC612, an oral NLRP3 inhibitor, initiated in Q2 2026 </w:t>
      </w:r>
    </w:p>
    <w:p>
      <w:pPr>
        <w:pStyle w:val="TextBody"/>
        <w:bidi w:val="0"/>
        <w:spacing w:lineRule="auto" w:line="285" w:before="0" w:after="0"/>
        <w:ind w:left="360" w:right="0" w:hanging="0"/>
        <w:jc w:val="left"/>
        <w:rPr>
          <w:rFonts w:ascii="Helvetica;sans-serif" w:hAnsi="Helvetica;sans-serif"/>
          <w:sz w:val="22"/>
        </w:rPr>
      </w:pPr>
      <w:r>
        <w:rPr>
          <w:rFonts w:ascii="Courier New" w:hAnsi="Courier New"/>
          <w:sz w:val="20"/>
        </w:rPr>
        <w:t>o</w:t>
      </w:r>
      <w:r>
        <w:rPr>
          <w:rFonts w:ascii="Arial;Helvetica;sans-serif" w:hAnsi="Arial;Helvetica;sans-serif"/>
          <w:sz w:val="20"/>
        </w:rPr>
        <w:t xml:space="preserve">Phase 2a study of PTC844, a next-generation DHODH inhibitor, expected to initiate in Q3 2026 </w:t>
      </w:r>
    </w:p>
    <w:p>
      <w:pPr>
        <w:pStyle w:val="TextBody"/>
        <w:bidi w:val="0"/>
        <w:spacing w:lineRule="auto" w:line="285"/>
        <w:ind w:left="0" w:right="0" w:hanging="0"/>
        <w:jc w:val="left"/>
        <w:rPr/>
      </w:pPr>
      <w:r>
        <w:rPr/>
        <w:t>●</w:t>
      </w:r>
      <w:r>
        <w:rPr>
          <w:rFonts w:ascii="Arial;Helvetica;sans-serif" w:hAnsi="Arial;Helvetica;sans-serif"/>
          <w:sz w:val="20"/>
        </w:rPr>
        <w:t>Hege Sollie-Zetlmayer has been appointed to PTC’s Board of Directors. Ms. Sollie-Zetlmayer has over 30 years of experience in the biopharmaceutical and medical device industry as a global business operations and human resources leader. She most recently served as PTC’s Chief Human Resources Officer prior to her retirement in June 2026.</w:t>
      </w:r>
    </w:p>
    <w:p>
      <w:pPr>
        <w:pStyle w:val="TextBody"/>
        <w:bidi w:val="0"/>
        <w:spacing w:lineRule="auto" w:line="307" w:before="0" w:after="160"/>
        <w:ind w:left="360" w:right="0" w:hanging="0"/>
        <w:jc w:val="both"/>
        <w:rPr/>
      </w:pPr>
      <w:r>
        <w:rPr/>
        <w:t>​</w:t>
      </w:r>
    </w:p>
    <w:p>
      <w:pPr>
        <w:pStyle w:val="TextBody"/>
        <w:bidi w:val="0"/>
        <w:spacing w:lineRule="auto" w:line="285" w:before="0" w:after="0"/>
        <w:ind w:left="0" w:right="0" w:hanging="0"/>
        <w:jc w:val="both"/>
        <w:rPr>
          <w:rFonts w:ascii="Arial;Helvetica;sans-serif" w:hAnsi="Arial;Helvetica;sans-serif"/>
          <w:b/>
          <w:sz w:val="20"/>
        </w:rPr>
      </w:pPr>
      <w:r>
        <w:rPr>
          <w:rFonts w:ascii="Arial;Helvetica;sans-serif" w:hAnsi="Arial;Helvetica;sans-serif"/>
          <w:b/>
          <w:sz w:val="20"/>
        </w:rPr>
        <w:t>Second Quarter 2026 Financial Highlights</w:t>
      </w:r>
    </w:p>
    <w:p>
      <w:pPr>
        <w:pStyle w:val="TextBody"/>
        <w:bidi w:val="0"/>
        <w:spacing w:lineRule="auto" w:line="285"/>
        <w:ind w:left="0" w:right="0" w:hanging="0"/>
        <w:jc w:val="left"/>
        <w:rPr/>
      </w:pPr>
      <w:r>
        <w:rPr/>
        <w:t>●</w:t>
      </w:r>
      <w:r>
        <w:rPr>
          <w:rFonts w:ascii="Arial;Helvetica;sans-serif" w:hAnsi="Arial;Helvetica;sans-serif"/>
          <w:sz w:val="20"/>
        </w:rPr>
        <w:t>Total net product revenue and royalty revenue was $309.9 million for the second quarter of 2026, compared to $175.9 million for the second quarter of 2025.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net product revenue across the commercial portfolio was $238.8 million for the second quarter of 2026, compared to $118.3 million for the second quarter of 2025, representing over 100% increase.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Sephience net product revenues were $151.3 million for the second quarter of 2026, representing 21% growth compared to the first quarter of 2026.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Translarna™ (ataluren) net product revenues were $42.2 million for the second quarter of 2026, compared to $59.5 million for the second quarter of 2025.</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Emflaza</w:t>
            </w:r>
            <w:r>
              <w:rPr>
                <w:rFonts w:ascii="Arial;Helvetica;sans-serif" w:hAnsi="Arial;Helvetica;sans-serif"/>
                <w:b w:val="false"/>
                <w:i w:val="false"/>
                <w:caps w:val="false"/>
                <w:smallCaps w:val="false"/>
                <w:sz w:val="15"/>
              </w:rPr>
              <w:t>®</w:t>
            </w:r>
            <w:r>
              <w:rPr>
                <w:caps w:val="false"/>
                <w:smallCaps w:val="false"/>
              </w:rPr>
              <w:t xml:space="preserve"> </w:t>
            </w:r>
            <w:r>
              <w:rPr>
                <w:rFonts w:ascii="Arial;Helvetica;sans-serif" w:hAnsi="Arial;Helvetica;sans-serif"/>
                <w:b w:val="false"/>
                <w:i w:val="false"/>
                <w:caps w:val="false"/>
                <w:smallCaps w:val="false"/>
                <w:sz w:val="20"/>
              </w:rPr>
              <w:t xml:space="preserve">(deflazacort) net product revenues were $24.6 million for the second quarter of 2026, compared to $36.4 million for the second quarter of 2025, due to continued generic erosion.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Roche reported Evrysdi</w:t>
            </w:r>
            <w:r>
              <w:rPr>
                <w:rFonts w:ascii="Arial;Helvetica;sans-serif" w:hAnsi="Arial;Helvetica;sans-serif"/>
                <w:b w:val="false"/>
                <w:i w:val="false"/>
                <w:caps w:val="false"/>
                <w:smallCaps w:val="false"/>
                <w:sz w:val="15"/>
              </w:rPr>
              <w:t>®</w:t>
            </w:r>
            <w:r>
              <w:rPr>
                <w:caps w:val="false"/>
                <w:smallCaps w:val="false"/>
              </w:rPr>
              <w:t xml:space="preserve"> </w:t>
            </w:r>
            <w:r>
              <w:rPr>
                <w:rFonts w:ascii="Arial;Helvetica;sans-serif" w:hAnsi="Arial;Helvetica;sans-serif"/>
                <w:b w:val="false"/>
                <w:i w:val="false"/>
                <w:caps w:val="false"/>
                <w:smallCaps w:val="false"/>
                <w:sz w:val="20"/>
              </w:rPr>
              <w:t>(risdiplam) year-to-date sales of approximately 968 CHF million, resulting in royalty revenue of $71.1 million to PTC for the second quarter of 2026, compared to $57.6 million to PTC for the second quarter of 2025.</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second quarter of 2026, PTC recorded a development milestone of $50.0 million from Novartis for the first patient dosed in the ongoing INVEST-HD Phase 3 study. This sales milestone was recorded as collaboration revenue.</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US GAAP (Generally Accepted Accounting Principles), GAAP R&amp;D expenses were $99.2 million for the second quarter of 2026, compared to $113.0 million for the second quarter of 2025.</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Non-GAAP R&amp;D expenses were $88.6 million for the second quarter of 2026, excluding $10.5 million in non-cash, stock-based compensation expense, compared to $104.0 million for the second quarter of 2025, excluding $9.0 million in non-cash, stock-based compensation expense.</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GAAP SG&amp;A expenses were $80.6 million for the second quarter of 2026, compared to $85.3 million for the second quarter of 2025.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Non-GAAP SG&amp;A expenses were $67.9 million for the second quarter of 2026, excluding $12.7 million in non-cash, stock-based compensation expense, compared to $75.7 million for the second quarter of 2025, excluding $9.5 million in non-cash, stock-based compensation expense.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Net income was $83.5 million for the second quarter of 2026, compared to net loss of $64.8 million for the second quarter of 2025.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June 2026, PTC issued $550.0 million of senior convertible notes due in 2031 at 0% coupon and a conversion price representing a 40% premium over the stock’s closing price at the time of the deal. Concurrent with the transaction, PTC repurchased the majority of its 1.5% senior convertible notes due in September 2026.</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Cash, cash equivalents, and marketable securities were $2,229.1 million on June 30, 2026, compared to $1,945.4 million on December 31, 2025.</w:t>
            </w:r>
          </w:p>
        </w:tc>
      </w:tr>
    </w:tbl>
    <w:tbl>
      <w:tblPr>
        <w:tblW w:w="6265" w:type="dxa"/>
        <w:jc w:val="left"/>
        <w:tblInd w:w="0" w:type="dxa"/>
        <w:tblLayout w:type="fixed"/>
        <w:tblCellMar>
          <w:top w:w="0" w:type="dxa"/>
          <w:left w:w="0" w:type="dxa"/>
          <w:bottom w:w="0" w:type="dxa"/>
          <w:right w:w="0" w:type="dxa"/>
        </w:tblCellMar>
      </w:tblPr>
      <w:tblGrid>
        <w:gridCol w:w="170"/>
        <w:gridCol w:w="6095"/>
      </w:tblGrid>
      <w:tr>
        <w:trPr/>
        <w:tc>
          <w:tcPr>
            <w:tcW w:w="17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Shares issued and outstanding as of June 30, 2026, were 83,327,286.</w:t>
            </w:r>
          </w:p>
        </w:tc>
      </w:tr>
    </w:tbl>
    <w:p>
      <w:pPr>
        <w:pStyle w:val="TextBody"/>
        <w:bidi w:val="0"/>
        <w:spacing w:lineRule="auto" w:line="307" w:before="0" w:after="160"/>
        <w:ind w:left="0" w:right="0" w:hanging="0"/>
        <w:jc w:val="left"/>
        <w:rPr/>
      </w:pPr>
      <w:r>
        <w:rPr/>
        <w:t>​</w:t>
      </w:r>
    </w:p>
    <w:p>
      <w:pPr>
        <w:pStyle w:val="TextBody"/>
        <w:bidi w:val="0"/>
        <w:spacing w:lineRule="auto" w:line="285" w:before="0" w:after="160"/>
        <w:ind w:left="0" w:right="0" w:hanging="0"/>
        <w:jc w:val="left"/>
        <w:rPr>
          <w:rFonts w:ascii="Arial;Helvetica;sans-serif" w:hAnsi="Arial;Helvetica;sans-serif"/>
          <w:b/>
          <w:sz w:val="20"/>
        </w:rPr>
      </w:pPr>
      <w:r>
        <w:rPr>
          <w:rFonts w:ascii="Arial;Helvetica;sans-serif" w:hAnsi="Arial;Helvetica;sans-serif"/>
          <w:b/>
          <w:sz w:val="20"/>
        </w:rPr>
        <w:t>PTC Updates Full-Year 2026 Financial Guidance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Expected total revenue increased to $1.18</w:t>
            </w:r>
            <w:r>
              <w:rPr>
                <w:caps w:val="false"/>
                <w:smallCaps w:val="false"/>
              </w:rPr>
              <w:t xml:space="preserve"> </w:t>
            </w:r>
            <w:r>
              <w:rPr>
                <w:rFonts w:ascii="Arial;Helvetica;sans-serif" w:hAnsi="Arial;Helvetica;sans-serif"/>
                <w:b w:val="false"/>
                <w:i w:val="false"/>
                <w:caps w:val="false"/>
                <w:smallCaps w:val="false"/>
                <w:sz w:val="20"/>
              </w:rPr>
              <w:t>to $1.28</w:t>
            </w:r>
            <w:r>
              <w:rPr>
                <w:caps w:val="false"/>
                <w:smallCaps w:val="false"/>
              </w:rPr>
              <w:t xml:space="preserve"> </w:t>
            </w:r>
            <w:r>
              <w:rPr>
                <w:rFonts w:ascii="Arial;Helvetica;sans-serif" w:hAnsi="Arial;Helvetica;sans-serif"/>
                <w:b w:val="false"/>
                <w:i w:val="false"/>
                <w:caps w:val="false"/>
                <w:smallCaps w:val="false"/>
                <w:sz w:val="20"/>
              </w:rPr>
              <w:t xml:space="preserve">billion, with total product revenue guidance raised to $850 to $950 million from $750 to $850 million </w:t>
            </w:r>
          </w:p>
        </w:tc>
      </w:tr>
    </w:tbl>
    <w:tbl>
      <w:tblPr>
        <w:tblW w:w="6385" w:type="dxa"/>
        <w:jc w:val="left"/>
        <w:tblInd w:w="0" w:type="dxa"/>
        <w:tblLayout w:type="fixed"/>
        <w:tblCellMar>
          <w:top w:w="0" w:type="dxa"/>
          <w:left w:w="0" w:type="dxa"/>
          <w:bottom w:w="0" w:type="dxa"/>
          <w:right w:w="0" w:type="dxa"/>
        </w:tblCellMar>
      </w:tblPr>
      <w:tblGrid>
        <w:gridCol w:w="170"/>
        <w:gridCol w:w="6215"/>
      </w:tblGrid>
      <w:tr>
        <w:trPr/>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GAAP R&amp;D and SG&amp;A expense guidance remains $775 to $815 million</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Non-GAAP R&amp;D and SG&amp;A expense guidance remains $680 to $720 million, excluding estimated non-cash, stock-based compensation expense of $95 million</w:t>
            </w:r>
          </w:p>
        </w:tc>
      </w:tr>
    </w:tbl>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left"/>
        <w:rPr>
          <w:rFonts w:ascii="Arial;Helvetica;sans-serif" w:hAnsi="Arial;Helvetica;sans-serif"/>
          <w:b/>
          <w:sz w:val="20"/>
        </w:rPr>
      </w:pPr>
      <w:r>
        <w:rPr>
          <w:rFonts w:ascii="Arial;Helvetica;sans-serif" w:hAnsi="Arial;Helvetica;sans-serif"/>
          <w:b/>
          <w:sz w:val="20"/>
        </w:rPr>
        <w:t>Non-GAAP Financial Measures</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In this press release, the financial results of PTC are provided in accordance with GAAP and using certain non-GAAP financial measures. In particular, the non-GAAP R&amp;D and SG&amp;A expense financial measures exclude non-cash, stock-based compensation expense. These non-GAAP financial measures are provided as a complement to financial measures reported in accordance with GAAP because management uses these non-GAAP financial measures when assessing and identifying operational trends. In management's opinion, these non-GAAP financial measures are useful to investors and other users of PTC's financial statements by providing greater transparency into the historical and projected operating performance of PTC and the company's future outlook. Non-GAAP financial measures are not an alternative for financial measures prepared in accordance with GAAP. Quantitative reconciliations of the non-GAAP financial measures to their respective closest equivalent GAAP financial measures are included in the table below.</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07" w:before="0" w:after="160"/>
        <w:ind w:left="2681" w:right="2929" w:hanging="0"/>
        <w:jc w:val="center"/>
        <w:rPr>
          <w:rFonts w:ascii="Helvetica;sans-serif" w:hAnsi="Helvetica;sans-serif"/>
          <w:sz w:val="20"/>
        </w:rPr>
      </w:pPr>
      <w:bookmarkStart w:id="40" w:name="_Hlk196317731"/>
      <w:bookmarkEnd w:id="40"/>
      <w:r>
        <w:rPr>
          <w:rFonts w:ascii="Arial;Helvetica;sans-serif" w:hAnsi="Arial;Helvetica;sans-serif"/>
          <w:b/>
          <w:sz w:val="20"/>
        </w:rPr>
        <w:t>PTC Therapeutics, Inc.</w:t>
      </w:r>
      <w:r>
        <w:rPr>
          <w:rFonts w:ascii="Arial;Helvetica;sans-serif" w:hAnsi="Arial;Helvetica;sans-serif"/>
          <w:sz w:val="20"/>
        </w:rPr>
        <w:br/>
      </w:r>
      <w:r>
        <w:rPr>
          <w:rFonts w:ascii="Arial;Helvetica;sans-serif" w:hAnsi="Arial;Helvetica;sans-serif"/>
          <w:b/>
          <w:sz w:val="20"/>
        </w:rPr>
        <w:t>Consolidated</w:t>
      </w:r>
      <w:r>
        <w:rPr>
          <w:rFonts w:ascii="Helvetica;sans-serif" w:hAnsi="Helvetica;sans-serif"/>
          <w:spacing w:val="-6"/>
          <w:sz w:val="20"/>
        </w:rPr>
        <w:t xml:space="preserve"> </w:t>
      </w:r>
      <w:r>
        <w:rPr>
          <w:rFonts w:ascii="Arial;Helvetica;sans-serif" w:hAnsi="Arial;Helvetica;sans-serif"/>
          <w:b/>
          <w:sz w:val="20"/>
        </w:rPr>
        <w:t>Statements</w:t>
      </w:r>
      <w:r>
        <w:rPr>
          <w:rFonts w:ascii="Helvetica;sans-serif" w:hAnsi="Helvetica;sans-serif"/>
          <w:spacing w:val="-1"/>
          <w:sz w:val="20"/>
        </w:rPr>
        <w:t xml:space="preserve"> </w:t>
      </w:r>
      <w:r>
        <w:rPr>
          <w:rFonts w:ascii="Arial;Helvetica;sans-serif" w:hAnsi="Arial;Helvetica;sans-serif"/>
          <w:b/>
          <w:sz w:val="20"/>
        </w:rPr>
        <w:t>of</w:t>
      </w:r>
      <w:r>
        <w:rPr>
          <w:rFonts w:ascii="Helvetica;sans-serif" w:hAnsi="Helvetica;sans-serif"/>
          <w:spacing w:val="-1"/>
          <w:sz w:val="20"/>
        </w:rPr>
        <w:t xml:space="preserve"> </w:t>
      </w:r>
      <w:r>
        <w:rPr>
          <w:rFonts w:ascii="Arial;Helvetica;sans-serif" w:hAnsi="Arial;Helvetica;sans-serif"/>
          <w:b/>
          <w:sz w:val="20"/>
        </w:rPr>
        <w:t>Operations</w:t>
        <w:br/>
      </w:r>
      <w:r>
        <w:rPr>
          <w:rFonts w:ascii="Arial;Helvetica;sans-serif" w:hAnsi="Arial;Helvetica;sans-serif"/>
          <w:sz w:val="20"/>
        </w:rPr>
        <w:t>(in</w:t>
      </w:r>
      <w:r>
        <w:rPr>
          <w:rFonts w:ascii="Helvetica;sans-serif" w:hAnsi="Helvetica;sans-serif"/>
          <w:spacing w:val="-1"/>
          <w:sz w:val="20"/>
        </w:rPr>
        <w:t xml:space="preserve"> </w:t>
      </w:r>
      <w:r>
        <w:rPr>
          <w:rFonts w:ascii="Arial;Helvetica;sans-serif" w:hAnsi="Arial;Helvetica;sans-serif"/>
          <w:sz w:val="20"/>
        </w:rPr>
        <w:t>thousands, except</w:t>
      </w:r>
      <w:r>
        <w:rPr>
          <w:rFonts w:ascii="Helvetica;sans-serif" w:hAnsi="Helvetica;sans-serif"/>
          <w:spacing w:val="-1"/>
          <w:sz w:val="20"/>
        </w:rPr>
        <w:t xml:space="preserve"> </w:t>
      </w:r>
      <w:r>
        <w:rPr>
          <w:rFonts w:ascii="Arial;Helvetica;sans-serif" w:hAnsi="Arial;Helvetica;sans-serif"/>
          <w:sz w:val="20"/>
        </w:rPr>
        <w:t>share and per</w:t>
      </w:r>
      <w:r>
        <w:rPr>
          <w:rFonts w:ascii="Helvetica;sans-serif" w:hAnsi="Helvetica;sans-serif"/>
          <w:spacing w:val="-2"/>
          <w:sz w:val="20"/>
        </w:rPr>
        <w:t xml:space="preserve"> </w:t>
      </w:r>
      <w:r>
        <w:rPr>
          <w:rFonts w:ascii="Arial;Helvetica;sans-serif" w:hAnsi="Arial;Helvetica;sans-serif"/>
          <w:sz w:val="20"/>
        </w:rPr>
        <w:t>share</w:t>
      </w:r>
      <w:r>
        <w:rPr>
          <w:rFonts w:ascii="Helvetica;sans-serif" w:hAnsi="Helvetica;sans-serif"/>
          <w:spacing w:val="1"/>
          <w:sz w:val="20"/>
        </w:rPr>
        <w:t xml:space="preserve"> </w:t>
      </w:r>
      <w:r>
        <w:rPr>
          <w:rFonts w:ascii="Arial;Helvetica;sans-serif" w:hAnsi="Arial;Helvetica;sans-serif"/>
          <w:sz w:val="20"/>
        </w:rPr>
        <w:t>data)</w:t>
      </w:r>
    </w:p>
    <w:p>
      <w:pPr>
        <w:pStyle w:val="TextBody"/>
        <w:bidi w:val="0"/>
        <w:spacing w:lineRule="auto" w:line="304" w:before="0" w:after="16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881"/>
        <w:gridCol w:w="346"/>
        <w:gridCol w:w="570"/>
        <w:gridCol w:w="121"/>
        <w:gridCol w:w="160"/>
        <w:gridCol w:w="163"/>
        <w:gridCol w:w="160"/>
        <w:gridCol w:w="1050"/>
        <w:gridCol w:w="109"/>
        <w:gridCol w:w="418"/>
        <w:gridCol w:w="570"/>
        <w:gridCol w:w="121"/>
        <w:gridCol w:w="199"/>
        <w:gridCol w:w="226"/>
        <w:gridCol w:w="62"/>
        <w:gridCol w:w="62"/>
        <w:gridCol w:w="294"/>
        <w:gridCol w:w="294"/>
        <w:gridCol w:w="239"/>
        <w:gridCol w:w="160"/>
      </w:tblGrid>
      <w:tr>
        <w:trPr/>
        <w:tc>
          <w:tcPr>
            <w:tcW w:w="488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3"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9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38785" cy="175260"/>
                      <wp:effectExtent l="0" t="0" r="0" b="0"/>
                      <wp:wrapNone/>
                      <wp:docPr id="24" name="Frame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01600" cy="175260"/>
                      <wp:effectExtent l="0" t="0" r="0" b="0"/>
                      <wp:wrapNone/>
                      <wp:docPr id="25" name="Frame23"/>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2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5105" cy="175260"/>
                      <wp:effectExtent l="0" t="0" r="0" b="0"/>
                      <wp:wrapNone/>
                      <wp:docPr id="26" name="Frame24"/>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6750" cy="175260"/>
                      <wp:effectExtent l="0" t="0" r="0" b="0"/>
                      <wp:wrapNone/>
                      <wp:docPr id="27" name="Frame25"/>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8" name="Frame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65430" cy="175260"/>
                      <wp:effectExtent l="0" t="0" r="0" b="0"/>
                      <wp:wrapNone/>
                      <wp:docPr id="29" name="Frame27"/>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9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38785" cy="175260"/>
                      <wp:effectExtent l="0" t="0" r="0" b="0"/>
                      <wp:wrapNone/>
                      <wp:docPr id="30" name="Frame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6365" cy="175260"/>
                      <wp:effectExtent l="0" t="0" r="0" b="0"/>
                      <wp:wrapNone/>
                      <wp:docPr id="31" name="Frame29"/>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8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82880" cy="175260"/>
                      <wp:effectExtent l="0" t="0" r="0" b="0"/>
                      <wp:wrapNone/>
                      <wp:docPr id="32" name="Frame30"/>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49" w:type="dxa"/>
            <w:gridSpan w:val="5"/>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6115" cy="175260"/>
                      <wp:effectExtent l="0" t="0" r="0" b="0"/>
                      <wp:wrapNone/>
                      <wp:docPr id="33" name="Frame31"/>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5227" w:type="dxa"/>
            <w:gridSpan w:val="2"/>
            <w:tcBorders/>
            <w:vAlign w:val="center"/>
          </w:tcPr>
          <w:p>
            <w:pPr>
              <w:pStyle w:val="TableContents"/>
              <w:bidi w:val="0"/>
              <w:spacing w:lineRule="auto" w:line="307" w:before="0" w:after="160"/>
              <w:ind w:left="0" w:right="0" w:hanging="0"/>
              <w:jc w:val="left"/>
              <w:rPr/>
            </w:pPr>
            <w:r>
              <w:rPr/>
              <w:t>​</w: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61950" cy="175260"/>
                      <wp:effectExtent l="0" t="0" r="0" b="0"/>
                      <wp:wrapNone/>
                      <wp:docPr id="34" name="Frame32"/>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8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78435" cy="175260"/>
                      <wp:effectExtent l="0" t="0" r="0" b="0"/>
                      <wp:wrapNone/>
                      <wp:docPr id="35" name="Frame33"/>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03505" cy="175260"/>
                      <wp:effectExtent l="0" t="0" r="0" b="0"/>
                      <wp:wrapNone/>
                      <wp:docPr id="36" name="Frame34"/>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01600" cy="175260"/>
                      <wp:effectExtent l="0" t="0" r="0" b="0"/>
                      <wp:wrapNone/>
                      <wp:docPr id="37" name="Frame35"/>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59"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735965" cy="175260"/>
                      <wp:effectExtent l="0" t="0" r="0" b="0"/>
                      <wp:wrapNone/>
                      <wp:docPr id="38" name="Frame36"/>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65430" cy="175260"/>
                      <wp:effectExtent l="0" t="0" r="0" b="0"/>
                      <wp:wrapNone/>
                      <wp:docPr id="39" name="Frame37"/>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61950" cy="175260"/>
                      <wp:effectExtent l="0" t="0" r="0" b="0"/>
                      <wp:wrapNone/>
                      <wp:docPr id="40" name="Frame38"/>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0" w:type="dxa"/>
            <w:gridSpan w:val="5"/>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25450" cy="175260"/>
                      <wp:effectExtent l="0" t="0" r="0" b="0"/>
                      <wp:wrapNone/>
                      <wp:docPr id="41" name="Frame39"/>
                      <a:graphic xmlns:a="http://schemas.openxmlformats.org/drawingml/2006/main">
                        <a:graphicData uri="http://schemas.microsoft.com/office/word/2010/wordprocessingShape">
                          <wps:wsp>
                            <wps:cNvSpPr txBox="1"/>
                            <wps:spPr>
                              <a:xfrm>
                                <a:off x="0" y="0"/>
                                <a:ext cx="42545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86690" cy="175260"/>
                      <wp:effectExtent l="0" t="0" r="0" b="0"/>
                      <wp:wrapNone/>
                      <wp:docPr id="42" name="Frame40"/>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86690" cy="175260"/>
                      <wp:effectExtent l="0" t="0" r="0" b="0"/>
                      <wp:wrapNone/>
                      <wp:docPr id="43" name="Frame41"/>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51765" cy="175260"/>
                      <wp:effectExtent l="0" t="0" r="0" b="0"/>
                      <wp:wrapNone/>
                      <wp:docPr id="44" name="Frame4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4881" w:type="dxa"/>
            <w:tcBorders/>
            <w:vAlign w:val="center"/>
          </w:tcPr>
          <w:p>
            <w:pPr>
              <w:pStyle w:val="TableContents"/>
              <w:bidi w:val="0"/>
              <w:spacing w:lineRule="auto" w:line="307" w:before="0" w:after="160"/>
              <w:ind w:left="0" w:right="0" w:hanging="0"/>
              <w:jc w:val="left"/>
              <w:rPr/>
            </w:pPr>
            <w:r>
              <w:rPr/>
              <w:t>​</w:t>
            </w:r>
          </w:p>
        </w:tc>
        <w:tc>
          <w:tcPr>
            <w:tcW w:w="2570" w:type="dxa"/>
            <w:gridSpan w:val="7"/>
            <w:tcBorders>
              <w:bottom w:val="single" w:sz="12"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109" w:type="dxa"/>
            <w:tcBorders/>
            <w:vAlign w:val="center"/>
          </w:tcPr>
          <w:p>
            <w:pPr>
              <w:pStyle w:val="TableContents"/>
              <w:bidi w:val="0"/>
              <w:spacing w:lineRule="auto" w:line="307" w:before="0" w:after="160"/>
              <w:ind w:left="0" w:right="0" w:hanging="0"/>
              <w:jc w:val="left"/>
              <w:rPr/>
            </w:pPr>
            <w:r>
              <w:rPr/>
              <w:t>​</w:t>
            </w:r>
          </w:p>
        </w:tc>
        <w:tc>
          <w:tcPr>
            <w:tcW w:w="2485" w:type="dxa"/>
            <w:gridSpan w:val="10"/>
            <w:tcBorders>
              <w:bottom w:val="single" w:sz="12"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b/>
                <w:sz w:val="16"/>
              </w:rPr>
            </w:pPr>
            <w:r>
              <w:rPr>
                <w:rFonts w:ascii="Arial;Helvetica;sans-serif" w:hAnsi="Arial;Helvetica;sans-serif"/>
                <w:b/>
                <w:sz w:val="16"/>
              </w:rPr>
              <w:t>Six Months Ended June 30,</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4881" w:type="dxa"/>
            <w:tcBorders/>
            <w:vAlign w:val="center"/>
          </w:tcPr>
          <w:p>
            <w:pPr>
              <w:pStyle w:val="TableContents"/>
              <w:bidi w:val="0"/>
              <w:spacing w:lineRule="auto" w:line="307" w:before="0" w:after="160"/>
              <w:ind w:left="0" w:right="0" w:hanging="0"/>
              <w:jc w:val="left"/>
              <w:rPr/>
            </w:pPr>
            <w:r>
              <w:rPr/>
              <w:t>​</w:t>
            </w:r>
          </w:p>
        </w:tc>
        <w:tc>
          <w:tcPr>
            <w:tcW w:w="1037" w:type="dxa"/>
            <w:gridSpan w:val="3"/>
            <w:tcBorders>
              <w:bottom w:val="single" w:sz="12"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160" w:type="dxa"/>
            <w:tcBorders/>
            <w:vAlign w:val="center"/>
          </w:tcPr>
          <w:p>
            <w:pPr>
              <w:pStyle w:val="TableContents"/>
              <w:bidi w:val="0"/>
              <w:spacing w:lineRule="auto" w:line="307" w:before="0" w:after="160"/>
              <w:ind w:left="0" w:right="0" w:hanging="0"/>
              <w:jc w:val="left"/>
              <w:rPr/>
            </w:pPr>
            <w:r>
              <w:rPr/>
              <w:t>​</w:t>
            </w:r>
          </w:p>
        </w:tc>
        <w:tc>
          <w:tcPr>
            <w:tcW w:w="1373" w:type="dxa"/>
            <w:gridSpan w:val="3"/>
            <w:tcBorders>
              <w:bottom w:val="single" w:sz="12"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109" w:type="dxa"/>
            <w:tcBorders/>
            <w:vAlign w:val="center"/>
          </w:tcPr>
          <w:p>
            <w:pPr>
              <w:pStyle w:val="TableContents"/>
              <w:bidi w:val="0"/>
              <w:spacing w:lineRule="auto" w:line="307" w:before="0" w:after="160"/>
              <w:ind w:left="0" w:right="0" w:hanging="0"/>
              <w:jc w:val="left"/>
              <w:rPr/>
            </w:pPr>
            <w:r>
              <w:rPr/>
              <w:t>​</w:t>
            </w:r>
          </w:p>
        </w:tc>
        <w:tc>
          <w:tcPr>
            <w:tcW w:w="1109" w:type="dxa"/>
            <w:gridSpan w:val="3"/>
            <w:tcBorders>
              <w:bottom w:val="single" w:sz="12"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199" w:type="dxa"/>
            <w:tcBorders/>
            <w:vAlign w:val="center"/>
          </w:tcPr>
          <w:p>
            <w:pPr>
              <w:pStyle w:val="TableContents"/>
              <w:bidi w:val="0"/>
              <w:spacing w:lineRule="auto" w:line="307" w:before="0" w:after="160"/>
              <w:ind w:left="0" w:right="0" w:hanging="0"/>
              <w:jc w:val="left"/>
              <w:rPr/>
            </w:pPr>
            <w:r>
              <w:rPr/>
              <w:t>​</w:t>
            </w:r>
          </w:p>
        </w:tc>
        <w:tc>
          <w:tcPr>
            <w:tcW w:w="1337" w:type="dxa"/>
            <w:gridSpan w:val="7"/>
            <w:tcBorders>
              <w:bottom w:val="single" w:sz="12"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Revenues:</w:t>
            </w:r>
          </w:p>
        </w:tc>
        <w:tc>
          <w:tcPr>
            <w:tcW w:w="1037" w:type="dxa"/>
            <w:gridSpan w:val="3"/>
            <w:tcBorders/>
            <w:vAlign w:val="center"/>
          </w:tcPr>
          <w:p>
            <w:pPr>
              <w:pStyle w:val="TableContents"/>
              <w:bidi w:val="0"/>
              <w:spacing w:lineRule="auto" w:line="307" w:before="0" w:after="160"/>
              <w:ind w:left="0" w:right="0" w:hanging="0"/>
              <w:jc w:val="center"/>
              <w:rPr/>
            </w:pPr>
            <w:r>
              <w:rPr/>
              <w:t>​</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vAlign w:val="center"/>
          </w:tcPr>
          <w:p>
            <w:pPr>
              <w:pStyle w:val="TableContents"/>
              <w:bidi w:val="0"/>
              <w:spacing w:lineRule="auto" w:line="307" w:before="0" w:after="160"/>
              <w:ind w:left="0" w:right="0" w:hanging="0"/>
              <w:jc w:val="center"/>
              <w:rPr/>
            </w:pPr>
            <w:r>
              <w:rPr/>
              <w:t>​</w:t>
            </w:r>
          </w:p>
        </w:tc>
        <w:tc>
          <w:tcPr>
            <w:tcW w:w="109" w:type="dxa"/>
            <w:tcBorders/>
            <w:vAlign w:val="center"/>
          </w:tcPr>
          <w:p>
            <w:pPr>
              <w:pStyle w:val="TableContents"/>
              <w:bidi w:val="0"/>
              <w:spacing w:lineRule="auto" w:line="307" w:before="0" w:after="160"/>
              <w:ind w:left="0" w:right="0" w:hanging="0"/>
              <w:jc w:val="center"/>
              <w:rPr/>
            </w:pPr>
            <w:r>
              <w:rPr/>
              <w:t>​</w:t>
            </w:r>
          </w:p>
        </w:tc>
        <w:tc>
          <w:tcPr>
            <w:tcW w:w="1109" w:type="dxa"/>
            <w:gridSpan w:val="3"/>
            <w:tcBorders/>
            <w:vAlign w:val="center"/>
          </w:tcPr>
          <w:p>
            <w:pPr>
              <w:pStyle w:val="TableContents"/>
              <w:bidi w:val="0"/>
              <w:spacing w:lineRule="auto" w:line="307" w:before="0" w:after="160"/>
              <w:ind w:left="0" w:right="0" w:hanging="0"/>
              <w:jc w:val="center"/>
              <w:rPr/>
            </w:pPr>
            <w:r>
              <w:rPr/>
              <w:t>​</w:t>
            </w:r>
          </w:p>
        </w:tc>
        <w:tc>
          <w:tcPr>
            <w:tcW w:w="199" w:type="dxa"/>
            <w:tcBorders/>
            <w:vAlign w:val="center"/>
          </w:tcPr>
          <w:p>
            <w:pPr>
              <w:pStyle w:val="TableContents"/>
              <w:bidi w:val="0"/>
              <w:spacing w:lineRule="auto" w:line="307" w:before="0" w:after="160"/>
              <w:ind w:left="0" w:right="0" w:hanging="0"/>
              <w:jc w:val="center"/>
              <w:rPr/>
            </w:pPr>
            <w:r>
              <w:rPr/>
              <w:t>​</w:t>
            </w:r>
          </w:p>
        </w:tc>
        <w:tc>
          <w:tcPr>
            <w:tcW w:w="1337" w:type="dxa"/>
            <w:gridSpan w:val="7"/>
            <w:tcBorders/>
            <w:vAlign w:val="center"/>
          </w:tcPr>
          <w:p>
            <w:pPr>
              <w:pStyle w:val="TableContents"/>
              <w:bidi w:val="0"/>
              <w:spacing w:lineRule="auto" w:line="307" w:before="0" w:after="160"/>
              <w:ind w:left="0" w:right="0" w:hanging="0"/>
              <w:jc w:val="center"/>
              <w:rPr/>
            </w:pPr>
            <w:r>
              <w:rPr/>
              <w:t>​</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Net product revenue</w:t>
            </w:r>
          </w:p>
        </w:tc>
        <w:tc>
          <w:tcPr>
            <w:tcW w:w="346" w:type="dxa"/>
            <w:tcBorders/>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691" w:type="dxa"/>
            <w:gridSpan w:val="2"/>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238,819</w:t>
            </w:r>
          </w:p>
        </w:tc>
        <w:tc>
          <w:tcPr>
            <w:tcW w:w="160" w:type="dxa"/>
            <w:tcBorders/>
            <w:vAlign w:val="center"/>
          </w:tcPr>
          <w:p>
            <w:pPr>
              <w:pStyle w:val="TableContents"/>
              <w:bidi w:val="0"/>
              <w:spacing w:lineRule="auto" w:line="307" w:before="0" w:after="160"/>
              <w:ind w:left="0" w:right="0" w:hanging="0"/>
              <w:jc w:val="center"/>
              <w:rPr/>
            </w:pPr>
            <w:r>
              <w:rPr/>
              <w:t>​</w:t>
            </w:r>
          </w:p>
        </w:tc>
        <w:tc>
          <w:tcPr>
            <w:tcW w:w="323" w:type="dxa"/>
            <w:gridSpan w:val="2"/>
            <w:tcBorders/>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1050" w:type="dxa"/>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118,329</w:t>
            </w:r>
          </w:p>
        </w:tc>
        <w:tc>
          <w:tcPr>
            <w:tcW w:w="109" w:type="dxa"/>
            <w:tcBorders/>
            <w:vAlign w:val="center"/>
          </w:tcPr>
          <w:p>
            <w:pPr>
              <w:pStyle w:val="TableContents"/>
              <w:bidi w:val="0"/>
              <w:spacing w:lineRule="auto" w:line="307" w:before="0" w:after="160"/>
              <w:ind w:left="0" w:right="0" w:hanging="0"/>
              <w:jc w:val="center"/>
              <w:rPr/>
            </w:pPr>
            <w:r>
              <w:rPr/>
              <w:t>​</w:t>
            </w:r>
          </w:p>
        </w:tc>
        <w:tc>
          <w:tcPr>
            <w:tcW w:w="418" w:type="dxa"/>
            <w:tcBorders/>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691" w:type="dxa"/>
            <w:gridSpan w:val="2"/>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464,392</w:t>
            </w:r>
          </w:p>
        </w:tc>
        <w:tc>
          <w:tcPr>
            <w:tcW w:w="199" w:type="dxa"/>
            <w:tcBorders/>
            <w:vAlign w:val="center"/>
          </w:tcPr>
          <w:p>
            <w:pPr>
              <w:pStyle w:val="TableContents"/>
              <w:bidi w:val="0"/>
              <w:spacing w:lineRule="auto" w:line="307" w:before="0" w:after="160"/>
              <w:ind w:left="0" w:right="0" w:hanging="0"/>
              <w:jc w:val="center"/>
              <w:rPr/>
            </w:pPr>
            <w:r>
              <w:rPr/>
              <w:t>​</w:t>
            </w:r>
          </w:p>
        </w:tc>
        <w:tc>
          <w:tcPr>
            <w:tcW w:w="288" w:type="dxa"/>
            <w:gridSpan w:val="2"/>
            <w:tcBorders/>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1049" w:type="dxa"/>
            <w:gridSpan w:val="5"/>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271,755</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Collaboration and license revenue</w:t>
            </w:r>
          </w:p>
        </w:tc>
        <w:tc>
          <w:tcPr>
            <w:tcW w:w="346" w:type="dxa"/>
            <w:tcBorders/>
            <w:vAlign w:val="center"/>
          </w:tcPr>
          <w:p>
            <w:pPr>
              <w:pStyle w:val="TableContents"/>
              <w:bidi w:val="0"/>
              <w:spacing w:lineRule="auto" w:line="307" w:before="0" w:after="160"/>
              <w:ind w:left="0" w:right="0" w:hanging="0"/>
              <w:jc w:val="center"/>
              <w:rPr/>
            </w:pPr>
            <w:r>
              <w:rPr/>
              <w:t>​</w:t>
            </w:r>
          </w:p>
        </w:tc>
        <w:tc>
          <w:tcPr>
            <w:tcW w:w="691" w:type="dxa"/>
            <w:gridSpan w:val="2"/>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50,595</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2,941</w:t>
            </w:r>
          </w:p>
        </w:tc>
        <w:tc>
          <w:tcPr>
            <w:tcW w:w="109" w:type="dxa"/>
            <w:tcBorders/>
            <w:vAlign w:val="center"/>
          </w:tcPr>
          <w:p>
            <w:pPr>
              <w:pStyle w:val="TableContents"/>
              <w:bidi w:val="0"/>
              <w:spacing w:lineRule="auto" w:line="307" w:before="0" w:after="160"/>
              <w:ind w:left="0" w:right="0" w:hanging="0"/>
              <w:jc w:val="right"/>
              <w:rPr/>
            </w:pPr>
            <w:r>
              <w:rPr/>
              <w:t>​</w:t>
            </w:r>
          </w:p>
        </w:tc>
        <w:tc>
          <w:tcPr>
            <w:tcW w:w="1109"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50,738</w:t>
            </w:r>
          </w:p>
        </w:tc>
        <w:tc>
          <w:tcPr>
            <w:tcW w:w="199" w:type="dxa"/>
            <w:tcBorders/>
            <w:vAlign w:val="center"/>
          </w:tcPr>
          <w:p>
            <w:pPr>
              <w:pStyle w:val="TableContents"/>
              <w:bidi w:val="0"/>
              <w:spacing w:lineRule="auto" w:line="307" w:before="0" w:after="160"/>
              <w:ind w:left="0" w:right="0" w:hanging="0"/>
              <w:jc w:val="right"/>
              <w:rPr/>
            </w:pPr>
            <w:r>
              <w:rPr/>
              <w:t>​</w:t>
            </w:r>
          </w:p>
        </w:tc>
        <w:tc>
          <w:tcPr>
            <w:tcW w:w="1337" w:type="dxa"/>
            <w:gridSpan w:val="7"/>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989,172</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Royalty revenue</w:t>
            </w:r>
          </w:p>
        </w:tc>
        <w:tc>
          <w:tcPr>
            <w:tcW w:w="346" w:type="dxa"/>
            <w:tcBorders>
              <w:bottom w:val="single" w:sz="2" w:space="0" w:color="000000"/>
            </w:tcBorders>
            <w:tcMar>
              <w:bottom w:w="28" w:type="dxa"/>
            </w:tcMar>
            <w:vAlign w:val="center"/>
          </w:tcPr>
          <w:p>
            <w:pPr>
              <w:pStyle w:val="TableContents"/>
              <w:bidi w:val="0"/>
              <w:spacing w:lineRule="auto" w:line="307" w:before="0" w:after="160"/>
              <w:ind w:left="0" w:right="0" w:hanging="0"/>
              <w:jc w:val="center"/>
              <w:rPr/>
            </w:pPr>
            <w:r>
              <w:rPr/>
              <w:t>​</w:t>
            </w:r>
          </w:p>
        </w:tc>
        <w:tc>
          <w:tcPr>
            <w:tcW w:w="691"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71,105</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57,605</w:t>
            </w:r>
          </w:p>
        </w:tc>
        <w:tc>
          <w:tcPr>
            <w:tcW w:w="109" w:type="dxa"/>
            <w:tcBorders/>
            <w:vAlign w:val="center"/>
          </w:tcPr>
          <w:p>
            <w:pPr>
              <w:pStyle w:val="TableContents"/>
              <w:bidi w:val="0"/>
              <w:spacing w:lineRule="auto" w:line="307" w:before="0" w:after="160"/>
              <w:ind w:left="0" w:right="0" w:hanging="0"/>
              <w:jc w:val="right"/>
              <w:rPr/>
            </w:pPr>
            <w:r>
              <w:rPr/>
              <w:t>​</w:t>
            </w:r>
          </w:p>
        </w:tc>
        <w:tc>
          <w:tcPr>
            <w:tcW w:w="1109"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117,940</w:t>
            </w:r>
          </w:p>
        </w:tc>
        <w:tc>
          <w:tcPr>
            <w:tcW w:w="199" w:type="dxa"/>
            <w:tcBorders/>
            <w:vAlign w:val="center"/>
          </w:tcPr>
          <w:p>
            <w:pPr>
              <w:pStyle w:val="TableContents"/>
              <w:bidi w:val="0"/>
              <w:spacing w:lineRule="auto" w:line="307" w:before="0" w:after="160"/>
              <w:ind w:left="0" w:right="0" w:hanging="0"/>
              <w:jc w:val="right"/>
              <w:rPr/>
            </w:pPr>
            <w:r>
              <w:rPr/>
              <w:t>​</w:t>
            </w:r>
          </w:p>
        </w:tc>
        <w:tc>
          <w:tcPr>
            <w:tcW w:w="1337" w:type="dxa"/>
            <w:gridSpan w:val="7"/>
            <w:tcBorders>
              <w:bottom w:val="single" w:sz="2" w:space="0" w:color="000000"/>
            </w:tcBorders>
            <w:tcMar>
              <w:bottom w:w="28" w:type="dxa"/>
            </w:tcMar>
            <w:vAlign w:val="center"/>
          </w:tcPr>
          <w:p>
            <w:pPr>
              <w:pStyle w:val="TableContents"/>
              <w:bidi w:val="0"/>
              <w:spacing w:lineRule="auto" w:line="307" w:before="0" w:after="1"/>
              <w:ind w:left="0" w:right="50" w:hanging="0"/>
              <w:jc w:val="right"/>
              <w:rPr>
                <w:rFonts w:ascii="Arial;Helvetica;sans-serif" w:hAnsi="Arial;Helvetica;sans-serif"/>
                <w:sz w:val="16"/>
              </w:rPr>
            </w:pPr>
            <w:r>
              <w:rPr>
                <w:rFonts w:ascii="Arial;Helvetica;sans-serif" w:hAnsi="Arial;Helvetica;sans-serif"/>
                <w:sz w:val="16"/>
              </w:rPr>
              <w:t>94,044</w:t>
            </w:r>
          </w:p>
        </w:tc>
      </w:tr>
      <w:tr>
        <w:trPr/>
        <w:tc>
          <w:tcPr>
            <w:tcW w:w="10205" w:type="dxa"/>
            <w:gridSpan w:val="20"/>
            <w:tcBorders/>
            <w:vAlign w:val="center"/>
          </w:tcPr>
          <w:p>
            <w:pPr>
              <w:pStyle w:val="TableContents"/>
              <w:bidi w:val="0"/>
              <w:spacing w:before="0" w:after="283"/>
              <w:ind w:left="0" w:right="0" w:hanging="0"/>
              <w:jc w:val="left"/>
              <w:rPr>
                <w:sz w:val="4"/>
                <w:szCs w:val="4"/>
              </w:rPr>
            </w:pPr>
            <w:r>
              <w:rPr>
                <w:sz w:val="4"/>
                <w:szCs w:val="4"/>
              </w:rPr>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Total revenues</w:t>
            </w:r>
          </w:p>
        </w:tc>
        <w:tc>
          <w:tcPr>
            <w:tcW w:w="1037"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360,519</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178,875</w:t>
            </w:r>
          </w:p>
        </w:tc>
        <w:tc>
          <w:tcPr>
            <w:tcW w:w="109" w:type="dxa"/>
            <w:tcBorders/>
            <w:vAlign w:val="center"/>
          </w:tcPr>
          <w:p>
            <w:pPr>
              <w:pStyle w:val="TableContents"/>
              <w:bidi w:val="0"/>
              <w:spacing w:lineRule="auto" w:line="307" w:before="0" w:after="160"/>
              <w:ind w:left="0" w:right="0" w:hanging="0"/>
              <w:jc w:val="center"/>
              <w:rPr/>
            </w:pPr>
            <w:r>
              <w:rPr/>
              <w:t>​</w:t>
            </w:r>
          </w:p>
        </w:tc>
        <w:tc>
          <w:tcPr>
            <w:tcW w:w="1534"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633,070</w:t>
            </w:r>
          </w:p>
        </w:tc>
        <w:tc>
          <w:tcPr>
            <w:tcW w:w="951"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1,354,971</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Operating expenses:</w:t>
            </w:r>
          </w:p>
        </w:tc>
        <w:tc>
          <w:tcPr>
            <w:tcW w:w="1037" w:type="dxa"/>
            <w:gridSpan w:val="3"/>
            <w:tcBorders/>
            <w:vAlign w:val="center"/>
          </w:tcPr>
          <w:p>
            <w:pPr>
              <w:pStyle w:val="TableContents"/>
              <w:bidi w:val="0"/>
              <w:spacing w:lineRule="auto" w:line="307" w:before="0" w:after="160"/>
              <w:ind w:left="0" w:right="0" w:hanging="0"/>
              <w:jc w:val="right"/>
              <w:rPr/>
            </w:pPr>
            <w:r>
              <w:rPr/>
              <w:t>​</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vAlign w:val="center"/>
          </w:tcPr>
          <w:p>
            <w:pPr>
              <w:pStyle w:val="TableContents"/>
              <w:bidi w:val="0"/>
              <w:spacing w:lineRule="auto" w:line="307" w:before="0" w:after="160"/>
              <w:ind w:left="0" w:right="0" w:hanging="0"/>
              <w:jc w:val="right"/>
              <w:rPr/>
            </w:pPr>
            <w:r>
              <w:rPr/>
              <w:t>​</w:t>
            </w:r>
          </w:p>
        </w:tc>
        <w:tc>
          <w:tcPr>
            <w:tcW w:w="109" w:type="dxa"/>
            <w:tcBorders/>
            <w:vAlign w:val="center"/>
          </w:tcPr>
          <w:p>
            <w:pPr>
              <w:pStyle w:val="TableContents"/>
              <w:bidi w:val="0"/>
              <w:spacing w:lineRule="auto" w:line="307" w:before="0" w:after="160"/>
              <w:ind w:left="0" w:right="0" w:hanging="0"/>
              <w:jc w:val="center"/>
              <w:rPr/>
            </w:pPr>
            <w:r>
              <w:rPr/>
              <w:t>​</w:t>
            </w:r>
          </w:p>
        </w:tc>
        <w:tc>
          <w:tcPr>
            <w:tcW w:w="1534" w:type="dxa"/>
            <w:gridSpan w:val="5"/>
            <w:tcBorders/>
            <w:vAlign w:val="center"/>
          </w:tcPr>
          <w:p>
            <w:pPr>
              <w:pStyle w:val="TableContents"/>
              <w:bidi w:val="0"/>
              <w:spacing w:lineRule="auto" w:line="307" w:before="0" w:after="160"/>
              <w:ind w:left="0" w:right="0" w:hanging="0"/>
              <w:jc w:val="right"/>
              <w:rPr/>
            </w:pPr>
            <w:r>
              <w:rPr/>
              <w:t>​</w:t>
            </w:r>
          </w:p>
        </w:tc>
        <w:tc>
          <w:tcPr>
            <w:tcW w:w="951" w:type="dxa"/>
            <w:gridSpan w:val="5"/>
            <w:tcBorders/>
            <w:vAlign w:val="center"/>
          </w:tcPr>
          <w:p>
            <w:pPr>
              <w:pStyle w:val="TableContents"/>
              <w:bidi w:val="0"/>
              <w:spacing w:lineRule="auto" w:line="307" w:before="0" w:after="160"/>
              <w:ind w:left="0" w:right="0" w:hanging="0"/>
              <w:jc w:val="right"/>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Cost of product, collaboration and license sales, excluding amortization of acquired intangible assets</w:t>
            </w:r>
          </w:p>
        </w:tc>
        <w:tc>
          <w:tcPr>
            <w:tcW w:w="1037"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19,921</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11,420</w:t>
            </w:r>
          </w:p>
        </w:tc>
        <w:tc>
          <w:tcPr>
            <w:tcW w:w="109" w:type="dxa"/>
            <w:tcBorders/>
            <w:vAlign w:val="center"/>
          </w:tcPr>
          <w:p>
            <w:pPr>
              <w:pStyle w:val="TableContents"/>
              <w:bidi w:val="0"/>
              <w:spacing w:lineRule="auto" w:line="307" w:before="0" w:after="160"/>
              <w:ind w:left="0" w:right="0" w:hanging="0"/>
              <w:jc w:val="center"/>
              <w:rPr/>
            </w:pPr>
            <w:r>
              <w:rPr/>
              <w:t>​</w:t>
            </w:r>
          </w:p>
        </w:tc>
        <w:tc>
          <w:tcPr>
            <w:tcW w:w="1534" w:type="dxa"/>
            <w:gridSpan w:val="5"/>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47,949</w:t>
            </w:r>
          </w:p>
        </w:tc>
        <w:tc>
          <w:tcPr>
            <w:tcW w:w="951" w:type="dxa"/>
            <w:gridSpan w:val="5"/>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24,282</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Amortization of acquired intangible assets</w:t>
            </w:r>
          </w:p>
        </w:tc>
        <w:tc>
          <w:tcPr>
            <w:tcW w:w="1037"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11,841</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4,061</w:t>
            </w:r>
          </w:p>
        </w:tc>
        <w:tc>
          <w:tcPr>
            <w:tcW w:w="109" w:type="dxa"/>
            <w:tcBorders/>
            <w:vAlign w:val="center"/>
          </w:tcPr>
          <w:p>
            <w:pPr>
              <w:pStyle w:val="TableContents"/>
              <w:bidi w:val="0"/>
              <w:spacing w:lineRule="auto" w:line="307" w:before="0" w:after="160"/>
              <w:ind w:left="0" w:right="0" w:hanging="0"/>
              <w:jc w:val="center"/>
              <w:rPr/>
            </w:pPr>
            <w:r>
              <w:rPr/>
              <w:t>​</w:t>
            </w:r>
          </w:p>
        </w:tc>
        <w:tc>
          <w:tcPr>
            <w:tcW w:w="1534" w:type="dxa"/>
            <w:gridSpan w:val="5"/>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23,422</w:t>
            </w:r>
          </w:p>
        </w:tc>
        <w:tc>
          <w:tcPr>
            <w:tcW w:w="951" w:type="dxa"/>
            <w:gridSpan w:val="5"/>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7,859</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Research and development (1)</w:t>
            </w:r>
          </w:p>
        </w:tc>
        <w:tc>
          <w:tcPr>
            <w:tcW w:w="1037"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99,150</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112,990</w:t>
            </w:r>
          </w:p>
        </w:tc>
        <w:tc>
          <w:tcPr>
            <w:tcW w:w="109" w:type="dxa"/>
            <w:tcBorders/>
            <w:vAlign w:val="center"/>
          </w:tcPr>
          <w:p>
            <w:pPr>
              <w:pStyle w:val="TableContents"/>
              <w:bidi w:val="0"/>
              <w:spacing w:lineRule="auto" w:line="307" w:before="0" w:after="160"/>
              <w:ind w:left="0" w:right="0" w:hanging="0"/>
              <w:jc w:val="center"/>
              <w:rPr/>
            </w:pPr>
            <w:r>
              <w:rPr/>
              <w:t>​</w:t>
            </w:r>
          </w:p>
        </w:tc>
        <w:tc>
          <w:tcPr>
            <w:tcW w:w="1534" w:type="dxa"/>
            <w:gridSpan w:val="5"/>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200,023</w:t>
            </w:r>
          </w:p>
        </w:tc>
        <w:tc>
          <w:tcPr>
            <w:tcW w:w="951" w:type="dxa"/>
            <w:gridSpan w:val="5"/>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221,963</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Selling, general and administrative (2)</w:t>
            </w:r>
          </w:p>
        </w:tc>
        <w:tc>
          <w:tcPr>
            <w:tcW w:w="1037"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80,630</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85,262</w:t>
            </w:r>
          </w:p>
        </w:tc>
        <w:tc>
          <w:tcPr>
            <w:tcW w:w="109" w:type="dxa"/>
            <w:tcBorders/>
            <w:vAlign w:val="center"/>
          </w:tcPr>
          <w:p>
            <w:pPr>
              <w:pStyle w:val="TableContents"/>
              <w:bidi w:val="0"/>
              <w:spacing w:lineRule="auto" w:line="307" w:before="0" w:after="160"/>
              <w:ind w:left="0" w:right="0" w:hanging="0"/>
              <w:jc w:val="center"/>
              <w:rPr/>
            </w:pPr>
            <w:r>
              <w:rPr/>
              <w:t>​</w:t>
            </w:r>
          </w:p>
        </w:tc>
        <w:tc>
          <w:tcPr>
            <w:tcW w:w="1534" w:type="dxa"/>
            <w:gridSpan w:val="5"/>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166,813</w:t>
            </w:r>
          </w:p>
        </w:tc>
        <w:tc>
          <w:tcPr>
            <w:tcW w:w="951" w:type="dxa"/>
            <w:gridSpan w:val="5"/>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166,223</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Change in the fair value of contingent consideration</w:t>
            </w:r>
          </w:p>
        </w:tc>
        <w:tc>
          <w:tcPr>
            <w:tcW w:w="1037" w:type="dxa"/>
            <w:gridSpan w:val="3"/>
            <w:tcBorders/>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109" w:type="dxa"/>
            <w:tcBorders/>
            <w:vAlign w:val="center"/>
          </w:tcPr>
          <w:p>
            <w:pPr>
              <w:pStyle w:val="TableContents"/>
              <w:bidi w:val="0"/>
              <w:spacing w:lineRule="auto" w:line="307" w:before="0" w:after="160"/>
              <w:ind w:left="0" w:right="0" w:hanging="0"/>
              <w:jc w:val="center"/>
              <w:rPr/>
            </w:pPr>
            <w:r>
              <w:rPr/>
              <w:t>​</w:t>
            </w:r>
          </w:p>
        </w:tc>
        <w:tc>
          <w:tcPr>
            <w:tcW w:w="1534" w:type="dxa"/>
            <w:gridSpan w:val="5"/>
            <w:tcBorders/>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951" w:type="dxa"/>
            <w:gridSpan w:val="5"/>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(800)</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Tangible asset impairment and losses on transactions, net</w:t>
            </w:r>
          </w:p>
        </w:tc>
        <w:tc>
          <w:tcPr>
            <w:tcW w:w="346" w:type="dxa"/>
            <w:tcBorders>
              <w:bottom w:val="single" w:sz="2" w:space="0" w:color="000000"/>
            </w:tcBorders>
            <w:tcMar>
              <w:bottom w:w="28" w:type="dxa"/>
            </w:tcMar>
            <w:vAlign w:val="center"/>
          </w:tcPr>
          <w:p>
            <w:pPr>
              <w:pStyle w:val="TableContents"/>
              <w:bidi w:val="0"/>
              <w:spacing w:lineRule="auto" w:line="307" w:before="0" w:after="160"/>
              <w:ind w:left="0" w:right="0" w:hanging="0"/>
              <w:jc w:val="center"/>
              <w:rPr/>
            </w:pPr>
            <w:r>
              <w:rPr/>
              <w:t>​</w:t>
            </w:r>
          </w:p>
        </w:tc>
        <w:tc>
          <w:tcPr>
            <w:tcW w:w="691"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160" w:type="dxa"/>
            <w:tcBorders/>
            <w:vAlign w:val="center"/>
          </w:tcPr>
          <w:p>
            <w:pPr>
              <w:pStyle w:val="TableContents"/>
              <w:bidi w:val="0"/>
              <w:spacing w:lineRule="auto" w:line="307" w:before="0" w:after="160"/>
              <w:ind w:left="0" w:right="0" w:hanging="0"/>
              <w:jc w:val="center"/>
              <w:rPr/>
            </w:pPr>
            <w:r>
              <w:rPr/>
              <w:t>​</w:t>
            </w:r>
          </w:p>
        </w:tc>
        <w:tc>
          <w:tcPr>
            <w:tcW w:w="323" w:type="dxa"/>
            <w:gridSpan w:val="2"/>
            <w:tcBorders>
              <w:bottom w:val="single" w:sz="2" w:space="0" w:color="000000"/>
            </w:tcBorders>
            <w:tcMar>
              <w:bottom w:w="28" w:type="dxa"/>
            </w:tcMar>
            <w:vAlign w:val="center"/>
          </w:tcPr>
          <w:p>
            <w:pPr>
              <w:pStyle w:val="TableContents"/>
              <w:bidi w:val="0"/>
              <w:spacing w:lineRule="auto" w:line="307" w:before="0" w:after="160"/>
              <w:ind w:left="0" w:right="0" w:hanging="0"/>
              <w:jc w:val="center"/>
              <w:rPr/>
            </w:pPr>
            <w:r>
              <w:rPr/>
              <w:t>​</w:t>
            </w:r>
          </w:p>
        </w:tc>
        <w:tc>
          <w:tcPr>
            <w:tcW w:w="1050"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99</w:t>
            </w:r>
          </w:p>
        </w:tc>
        <w:tc>
          <w:tcPr>
            <w:tcW w:w="109" w:type="dxa"/>
            <w:tcBorders/>
            <w:vAlign w:val="center"/>
          </w:tcPr>
          <w:p>
            <w:pPr>
              <w:pStyle w:val="TableContents"/>
              <w:bidi w:val="0"/>
              <w:spacing w:lineRule="auto" w:line="307" w:before="0" w:after="160"/>
              <w:ind w:left="0" w:right="0" w:hanging="0"/>
              <w:jc w:val="center"/>
              <w:rPr/>
            </w:pPr>
            <w:r>
              <w:rPr/>
              <w:t>​</w:t>
            </w:r>
          </w:p>
        </w:tc>
        <w:tc>
          <w:tcPr>
            <w:tcW w:w="418" w:type="dxa"/>
            <w:tcBorders>
              <w:bottom w:val="single" w:sz="2" w:space="0" w:color="000000"/>
            </w:tcBorders>
            <w:tcMar>
              <w:bottom w:w="28" w:type="dxa"/>
            </w:tcMar>
            <w:vAlign w:val="center"/>
          </w:tcPr>
          <w:p>
            <w:pPr>
              <w:pStyle w:val="TableContents"/>
              <w:bidi w:val="0"/>
              <w:spacing w:lineRule="auto" w:line="307" w:before="0" w:after="160"/>
              <w:ind w:left="0" w:right="0" w:hanging="0"/>
              <w:jc w:val="center"/>
              <w:rPr/>
            </w:pPr>
            <w:r>
              <w:rPr/>
              <w:t>​</w:t>
            </w:r>
          </w:p>
        </w:tc>
        <w:tc>
          <w:tcPr>
            <w:tcW w:w="691"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927</w:t>
            </w:r>
          </w:p>
        </w:tc>
        <w:tc>
          <w:tcPr>
            <w:tcW w:w="199" w:type="dxa"/>
            <w:tcBorders/>
            <w:vAlign w:val="center"/>
          </w:tcPr>
          <w:p>
            <w:pPr>
              <w:pStyle w:val="TableContents"/>
              <w:bidi w:val="0"/>
              <w:spacing w:lineRule="auto" w:line="307" w:before="0" w:after="160"/>
              <w:ind w:left="0" w:right="0" w:hanging="0"/>
              <w:jc w:val="center"/>
              <w:rPr/>
            </w:pPr>
            <w:r>
              <w:rPr/>
              <w:t>​</w:t>
            </w:r>
          </w:p>
        </w:tc>
        <w:tc>
          <w:tcPr>
            <w:tcW w:w="288" w:type="dxa"/>
            <w:gridSpan w:val="2"/>
            <w:tcBorders>
              <w:bottom w:val="single" w:sz="2" w:space="0" w:color="000000"/>
            </w:tcBorders>
            <w:tcMar>
              <w:bottom w:w="28" w:type="dxa"/>
            </w:tcMar>
            <w:vAlign w:val="center"/>
          </w:tcPr>
          <w:p>
            <w:pPr>
              <w:pStyle w:val="TableContents"/>
              <w:bidi w:val="0"/>
              <w:spacing w:lineRule="auto" w:line="307" w:before="0" w:after="160"/>
              <w:ind w:left="0" w:right="0" w:hanging="0"/>
              <w:jc w:val="center"/>
              <w:rPr/>
            </w:pPr>
            <w:r>
              <w:rPr/>
              <w:t>​</w:t>
            </w:r>
          </w:p>
        </w:tc>
        <w:tc>
          <w:tcPr>
            <w:tcW w:w="1049"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176</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Total operating expenses</w:t>
            </w:r>
          </w:p>
        </w:tc>
        <w:tc>
          <w:tcPr>
            <w:tcW w:w="1037"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211,542</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213,832</w:t>
            </w:r>
          </w:p>
        </w:tc>
        <w:tc>
          <w:tcPr>
            <w:tcW w:w="109" w:type="dxa"/>
            <w:tcBorders/>
            <w:vAlign w:val="center"/>
          </w:tcPr>
          <w:p>
            <w:pPr>
              <w:pStyle w:val="TableContents"/>
              <w:bidi w:val="0"/>
              <w:spacing w:lineRule="auto" w:line="307" w:before="0" w:after="160"/>
              <w:ind w:left="0" w:right="0" w:hanging="0"/>
              <w:jc w:val="center"/>
              <w:rPr/>
            </w:pPr>
            <w:r>
              <w:rPr/>
              <w:t>​</w:t>
            </w:r>
          </w:p>
        </w:tc>
        <w:tc>
          <w:tcPr>
            <w:tcW w:w="1109"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439,134</w:t>
            </w:r>
          </w:p>
        </w:tc>
        <w:tc>
          <w:tcPr>
            <w:tcW w:w="199" w:type="dxa"/>
            <w:tcBorders/>
            <w:vAlign w:val="center"/>
          </w:tcPr>
          <w:p>
            <w:pPr>
              <w:pStyle w:val="TableContents"/>
              <w:bidi w:val="0"/>
              <w:spacing w:lineRule="auto" w:line="307" w:before="0" w:after="160"/>
              <w:ind w:left="0" w:right="0" w:hanging="0"/>
              <w:jc w:val="center"/>
              <w:rPr/>
            </w:pPr>
            <w:r>
              <w:rPr/>
              <w:t>​</w:t>
            </w:r>
          </w:p>
        </w:tc>
        <w:tc>
          <w:tcPr>
            <w:tcW w:w="1337" w:type="dxa"/>
            <w:gridSpan w:val="7"/>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419,703</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Income (loss) from operations</w:t>
            </w:r>
          </w:p>
        </w:tc>
        <w:tc>
          <w:tcPr>
            <w:tcW w:w="1037"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148,977</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(34,957)</w:t>
            </w:r>
          </w:p>
        </w:tc>
        <w:tc>
          <w:tcPr>
            <w:tcW w:w="109" w:type="dxa"/>
            <w:tcBorders/>
            <w:vAlign w:val="center"/>
          </w:tcPr>
          <w:p>
            <w:pPr>
              <w:pStyle w:val="TableContents"/>
              <w:bidi w:val="0"/>
              <w:spacing w:lineRule="auto" w:line="307" w:before="0" w:after="160"/>
              <w:ind w:left="0" w:right="0" w:hanging="0"/>
              <w:jc w:val="center"/>
              <w:rPr/>
            </w:pPr>
            <w:r>
              <w:rPr/>
              <w:t>​</w:t>
            </w:r>
          </w:p>
        </w:tc>
        <w:tc>
          <w:tcPr>
            <w:tcW w:w="1109"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193,936</w:t>
            </w:r>
          </w:p>
        </w:tc>
        <w:tc>
          <w:tcPr>
            <w:tcW w:w="199" w:type="dxa"/>
            <w:tcBorders/>
            <w:vAlign w:val="center"/>
          </w:tcPr>
          <w:p>
            <w:pPr>
              <w:pStyle w:val="TableContents"/>
              <w:bidi w:val="0"/>
              <w:spacing w:lineRule="auto" w:line="307" w:before="0" w:after="160"/>
              <w:ind w:left="0" w:right="0" w:hanging="0"/>
              <w:jc w:val="center"/>
              <w:rPr/>
            </w:pPr>
            <w:r>
              <w:rPr/>
              <w:t>​</w:t>
            </w:r>
          </w:p>
        </w:tc>
        <w:tc>
          <w:tcPr>
            <w:tcW w:w="1337" w:type="dxa"/>
            <w:gridSpan w:val="7"/>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935,268</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Interest expense, net</w:t>
            </w:r>
          </w:p>
        </w:tc>
        <w:tc>
          <w:tcPr>
            <w:tcW w:w="1037"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(48,481)</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(30,358)</w:t>
            </w:r>
          </w:p>
        </w:tc>
        <w:tc>
          <w:tcPr>
            <w:tcW w:w="109" w:type="dxa"/>
            <w:tcBorders/>
            <w:vAlign w:val="center"/>
          </w:tcPr>
          <w:p>
            <w:pPr>
              <w:pStyle w:val="TableContents"/>
              <w:bidi w:val="0"/>
              <w:spacing w:lineRule="auto" w:line="307" w:before="0" w:after="160"/>
              <w:ind w:left="0" w:right="0" w:hanging="0"/>
              <w:jc w:val="center"/>
              <w:rPr/>
            </w:pPr>
            <w:r>
              <w:rPr/>
              <w:t>​</w:t>
            </w:r>
          </w:p>
        </w:tc>
        <w:tc>
          <w:tcPr>
            <w:tcW w:w="1109"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(97,511)</w:t>
            </w:r>
          </w:p>
        </w:tc>
        <w:tc>
          <w:tcPr>
            <w:tcW w:w="199" w:type="dxa"/>
            <w:tcBorders/>
            <w:vAlign w:val="center"/>
          </w:tcPr>
          <w:p>
            <w:pPr>
              <w:pStyle w:val="TableContents"/>
              <w:bidi w:val="0"/>
              <w:spacing w:lineRule="auto" w:line="307" w:before="0" w:after="160"/>
              <w:ind w:left="0" w:right="0" w:hanging="0"/>
              <w:jc w:val="center"/>
              <w:rPr/>
            </w:pPr>
            <w:r>
              <w:rPr/>
              <w:t>​</w:t>
            </w:r>
          </w:p>
        </w:tc>
        <w:tc>
          <w:tcPr>
            <w:tcW w:w="1337" w:type="dxa"/>
            <w:gridSpan w:val="7"/>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(64,450)</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Other expense, net</w:t>
            </w:r>
          </w:p>
        </w:tc>
        <w:tc>
          <w:tcPr>
            <w:tcW w:w="1037"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(2,951)</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(5,737)</w:t>
            </w:r>
          </w:p>
        </w:tc>
        <w:tc>
          <w:tcPr>
            <w:tcW w:w="109" w:type="dxa"/>
            <w:tcBorders/>
            <w:vAlign w:val="center"/>
          </w:tcPr>
          <w:p>
            <w:pPr>
              <w:pStyle w:val="TableContents"/>
              <w:bidi w:val="0"/>
              <w:spacing w:lineRule="auto" w:line="307" w:before="0" w:after="160"/>
              <w:ind w:left="0" w:right="0" w:hanging="0"/>
              <w:jc w:val="center"/>
              <w:rPr/>
            </w:pPr>
            <w:r>
              <w:rPr/>
              <w:t>​</w:t>
            </w:r>
          </w:p>
        </w:tc>
        <w:tc>
          <w:tcPr>
            <w:tcW w:w="1109"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(1,342)</w:t>
            </w:r>
          </w:p>
        </w:tc>
        <w:tc>
          <w:tcPr>
            <w:tcW w:w="199" w:type="dxa"/>
            <w:tcBorders/>
            <w:vAlign w:val="center"/>
          </w:tcPr>
          <w:p>
            <w:pPr>
              <w:pStyle w:val="TableContents"/>
              <w:bidi w:val="0"/>
              <w:spacing w:lineRule="auto" w:line="307" w:before="0" w:after="160"/>
              <w:ind w:left="0" w:right="0" w:hanging="0"/>
              <w:jc w:val="center"/>
              <w:rPr/>
            </w:pPr>
            <w:r>
              <w:rPr/>
              <w:t>​</w:t>
            </w:r>
          </w:p>
        </w:tc>
        <w:tc>
          <w:tcPr>
            <w:tcW w:w="1337" w:type="dxa"/>
            <w:gridSpan w:val="7"/>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(12,042)</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Income (loss) before income tax (expense) benefit</w:t>
            </w:r>
          </w:p>
        </w:tc>
        <w:tc>
          <w:tcPr>
            <w:tcW w:w="1037"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97,545</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(71,052)</w:t>
            </w:r>
          </w:p>
        </w:tc>
        <w:tc>
          <w:tcPr>
            <w:tcW w:w="109" w:type="dxa"/>
            <w:tcBorders/>
            <w:vAlign w:val="center"/>
          </w:tcPr>
          <w:p>
            <w:pPr>
              <w:pStyle w:val="TableContents"/>
              <w:bidi w:val="0"/>
              <w:spacing w:lineRule="auto" w:line="307" w:before="0" w:after="160"/>
              <w:ind w:left="0" w:right="0" w:hanging="0"/>
              <w:jc w:val="center"/>
              <w:rPr/>
            </w:pPr>
            <w:r>
              <w:rPr/>
              <w:t>​</w:t>
            </w:r>
          </w:p>
        </w:tc>
        <w:tc>
          <w:tcPr>
            <w:tcW w:w="1109"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95,083</w:t>
            </w:r>
          </w:p>
        </w:tc>
        <w:tc>
          <w:tcPr>
            <w:tcW w:w="199" w:type="dxa"/>
            <w:tcBorders/>
            <w:vAlign w:val="center"/>
          </w:tcPr>
          <w:p>
            <w:pPr>
              <w:pStyle w:val="TableContents"/>
              <w:bidi w:val="0"/>
              <w:spacing w:lineRule="auto" w:line="307" w:before="0" w:after="160"/>
              <w:ind w:left="0" w:right="0" w:hanging="0"/>
              <w:jc w:val="center"/>
              <w:rPr/>
            </w:pPr>
            <w:r>
              <w:rPr/>
              <w:t>​</w:t>
            </w:r>
          </w:p>
        </w:tc>
        <w:tc>
          <w:tcPr>
            <w:tcW w:w="1337" w:type="dxa"/>
            <w:gridSpan w:val="7"/>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858,776</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Income tax (expense) benefit</w:t>
            </w:r>
          </w:p>
        </w:tc>
        <w:tc>
          <w:tcPr>
            <w:tcW w:w="1037"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(14,049)</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6,203</w:t>
            </w:r>
          </w:p>
        </w:tc>
        <w:tc>
          <w:tcPr>
            <w:tcW w:w="109" w:type="dxa"/>
            <w:tcBorders/>
            <w:vAlign w:val="center"/>
          </w:tcPr>
          <w:p>
            <w:pPr>
              <w:pStyle w:val="TableContents"/>
              <w:bidi w:val="0"/>
              <w:spacing w:lineRule="auto" w:line="307" w:before="0" w:after="160"/>
              <w:ind w:left="0" w:right="0" w:hanging="0"/>
              <w:jc w:val="center"/>
              <w:rPr/>
            </w:pPr>
            <w:r>
              <w:rPr/>
              <w:t>​</w:t>
            </w:r>
          </w:p>
        </w:tc>
        <w:tc>
          <w:tcPr>
            <w:tcW w:w="1109"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(14,396)</w:t>
            </w:r>
          </w:p>
        </w:tc>
        <w:tc>
          <w:tcPr>
            <w:tcW w:w="199" w:type="dxa"/>
            <w:tcBorders/>
            <w:vAlign w:val="center"/>
          </w:tcPr>
          <w:p>
            <w:pPr>
              <w:pStyle w:val="TableContents"/>
              <w:bidi w:val="0"/>
              <w:spacing w:lineRule="auto" w:line="307" w:before="0" w:after="160"/>
              <w:ind w:left="0" w:right="0" w:hanging="0"/>
              <w:jc w:val="center"/>
              <w:rPr/>
            </w:pPr>
            <w:r>
              <w:rPr/>
              <w:t>​</w:t>
            </w:r>
          </w:p>
        </w:tc>
        <w:tc>
          <w:tcPr>
            <w:tcW w:w="1337" w:type="dxa"/>
            <w:gridSpan w:val="7"/>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(57,063)</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Net income (loss) attributable to common stockholders</w:t>
            </w:r>
          </w:p>
        </w:tc>
        <w:tc>
          <w:tcPr>
            <w:tcW w:w="346" w:type="dxa"/>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691"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83,496</w:t>
            </w:r>
          </w:p>
        </w:tc>
        <w:tc>
          <w:tcPr>
            <w:tcW w:w="160" w:type="dxa"/>
            <w:tcBorders/>
            <w:vAlign w:val="center"/>
          </w:tcPr>
          <w:p>
            <w:pPr>
              <w:pStyle w:val="TableContents"/>
              <w:bidi w:val="0"/>
              <w:spacing w:lineRule="auto" w:line="307" w:before="0" w:after="160"/>
              <w:ind w:left="0" w:right="0" w:hanging="0"/>
              <w:jc w:val="center"/>
              <w:rPr/>
            </w:pPr>
            <w:r>
              <w:rPr/>
              <w:t>​</w:t>
            </w:r>
          </w:p>
        </w:tc>
        <w:tc>
          <w:tcPr>
            <w:tcW w:w="323"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1050"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(64,849)</w:t>
            </w:r>
          </w:p>
        </w:tc>
        <w:tc>
          <w:tcPr>
            <w:tcW w:w="109" w:type="dxa"/>
            <w:tcBorders/>
            <w:vAlign w:val="center"/>
          </w:tcPr>
          <w:p>
            <w:pPr>
              <w:pStyle w:val="TableContents"/>
              <w:bidi w:val="0"/>
              <w:spacing w:lineRule="auto" w:line="307" w:before="0" w:after="160"/>
              <w:ind w:left="0" w:right="0" w:hanging="0"/>
              <w:jc w:val="center"/>
              <w:rPr/>
            </w:pPr>
            <w:r>
              <w:rPr/>
              <w:t>​</w:t>
            </w:r>
          </w:p>
        </w:tc>
        <w:tc>
          <w:tcPr>
            <w:tcW w:w="418" w:type="dxa"/>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691"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80,687</w:t>
            </w:r>
          </w:p>
        </w:tc>
        <w:tc>
          <w:tcPr>
            <w:tcW w:w="199" w:type="dxa"/>
            <w:tcBorders/>
            <w:vAlign w:val="center"/>
          </w:tcPr>
          <w:p>
            <w:pPr>
              <w:pStyle w:val="TableContents"/>
              <w:bidi w:val="0"/>
              <w:spacing w:lineRule="auto" w:line="307" w:before="0" w:after="160"/>
              <w:ind w:left="0" w:right="0" w:hanging="0"/>
              <w:jc w:val="center"/>
              <w:rPr/>
            </w:pPr>
            <w:r>
              <w:rPr/>
              <w:t>​</w:t>
            </w:r>
          </w:p>
        </w:tc>
        <w:tc>
          <w:tcPr>
            <w:tcW w:w="288"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1049" w:type="dxa"/>
            <w:gridSpan w:val="5"/>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801,713</w:t>
            </w:r>
          </w:p>
        </w:tc>
      </w:tr>
      <w:tr>
        <w:trPr/>
        <w:tc>
          <w:tcPr>
            <w:tcW w:w="4881" w:type="dxa"/>
            <w:tcBorders/>
            <w:vAlign w:val="center"/>
          </w:tcPr>
          <w:p>
            <w:pPr>
              <w:pStyle w:val="TableContents"/>
              <w:bidi w:val="0"/>
              <w:spacing w:lineRule="auto" w:line="307" w:before="0" w:after="160"/>
              <w:ind w:left="0" w:right="0" w:hanging="0"/>
              <w:jc w:val="left"/>
              <w:rPr/>
            </w:pPr>
            <w:r>
              <w:rPr/>
              <w:t>​</w:t>
            </w:r>
          </w:p>
        </w:tc>
        <w:tc>
          <w:tcPr>
            <w:tcW w:w="1037" w:type="dxa"/>
            <w:gridSpan w:val="3"/>
            <w:tcBorders/>
            <w:vAlign w:val="center"/>
          </w:tcPr>
          <w:p>
            <w:pPr>
              <w:pStyle w:val="TableContents"/>
              <w:bidi w:val="0"/>
              <w:spacing w:lineRule="auto" w:line="307" w:before="0" w:after="160"/>
              <w:ind w:left="0" w:right="0" w:hanging="0"/>
              <w:jc w:val="right"/>
              <w:rPr/>
            </w:pPr>
            <w:r>
              <w:rPr/>
              <w:t>​</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vAlign w:val="center"/>
          </w:tcPr>
          <w:p>
            <w:pPr>
              <w:pStyle w:val="TableContents"/>
              <w:bidi w:val="0"/>
              <w:spacing w:lineRule="auto" w:line="307" w:before="0" w:after="160"/>
              <w:ind w:left="0" w:right="0" w:hanging="0"/>
              <w:jc w:val="right"/>
              <w:rPr/>
            </w:pPr>
            <w:r>
              <w:rPr/>
              <w:t>​</w:t>
            </w:r>
          </w:p>
        </w:tc>
        <w:tc>
          <w:tcPr>
            <w:tcW w:w="109" w:type="dxa"/>
            <w:tcBorders/>
            <w:vAlign w:val="center"/>
          </w:tcPr>
          <w:p>
            <w:pPr>
              <w:pStyle w:val="TableContents"/>
              <w:bidi w:val="0"/>
              <w:spacing w:lineRule="auto" w:line="307" w:before="0" w:after="160"/>
              <w:ind w:left="0" w:right="0" w:hanging="0"/>
              <w:jc w:val="center"/>
              <w:rPr/>
            </w:pPr>
            <w:r>
              <w:rPr/>
              <w:t>​</w:t>
            </w:r>
          </w:p>
        </w:tc>
        <w:tc>
          <w:tcPr>
            <w:tcW w:w="1109" w:type="dxa"/>
            <w:gridSpan w:val="3"/>
            <w:tcBorders/>
            <w:vAlign w:val="center"/>
          </w:tcPr>
          <w:p>
            <w:pPr>
              <w:pStyle w:val="TableContents"/>
              <w:bidi w:val="0"/>
              <w:spacing w:lineRule="auto" w:line="307" w:before="0" w:after="160"/>
              <w:ind w:left="0" w:right="0" w:hanging="0"/>
              <w:jc w:val="right"/>
              <w:rPr/>
            </w:pPr>
            <w:r>
              <w:rPr/>
              <w:t>​</w:t>
            </w:r>
          </w:p>
        </w:tc>
        <w:tc>
          <w:tcPr>
            <w:tcW w:w="199" w:type="dxa"/>
            <w:tcBorders/>
            <w:vAlign w:val="center"/>
          </w:tcPr>
          <w:p>
            <w:pPr>
              <w:pStyle w:val="TableContents"/>
              <w:bidi w:val="0"/>
              <w:spacing w:lineRule="auto" w:line="307" w:before="0" w:after="160"/>
              <w:ind w:left="0" w:right="0" w:hanging="0"/>
              <w:jc w:val="center"/>
              <w:rPr/>
            </w:pPr>
            <w:r>
              <w:rPr/>
              <w:t>​</w:t>
            </w:r>
          </w:p>
        </w:tc>
        <w:tc>
          <w:tcPr>
            <w:tcW w:w="1337" w:type="dxa"/>
            <w:gridSpan w:val="7"/>
            <w:tcBorders/>
            <w:vAlign w:val="center"/>
          </w:tcPr>
          <w:p>
            <w:pPr>
              <w:pStyle w:val="TableContents"/>
              <w:bidi w:val="0"/>
              <w:spacing w:lineRule="auto" w:line="307" w:before="0" w:after="160"/>
              <w:ind w:left="0" w:right="0" w:hanging="0"/>
              <w:jc w:val="right"/>
              <w:rPr/>
            </w:pPr>
            <w:r>
              <w:rPr/>
              <w:t>​</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Weighted-average shares outstanding:</w:t>
            </w:r>
          </w:p>
        </w:tc>
        <w:tc>
          <w:tcPr>
            <w:tcW w:w="1037" w:type="dxa"/>
            <w:gridSpan w:val="3"/>
            <w:tcBorders/>
            <w:vAlign w:val="center"/>
          </w:tcPr>
          <w:p>
            <w:pPr>
              <w:pStyle w:val="TableContents"/>
              <w:bidi w:val="0"/>
              <w:spacing w:lineRule="auto" w:line="307" w:before="0" w:after="160"/>
              <w:ind w:left="0" w:right="0" w:hanging="0"/>
              <w:jc w:val="right"/>
              <w:rPr/>
            </w:pPr>
            <w:r>
              <w:rPr/>
              <w:t>​</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vAlign w:val="center"/>
          </w:tcPr>
          <w:p>
            <w:pPr>
              <w:pStyle w:val="TableContents"/>
              <w:bidi w:val="0"/>
              <w:spacing w:lineRule="auto" w:line="307" w:before="0" w:after="160"/>
              <w:ind w:left="0" w:right="0" w:hanging="0"/>
              <w:jc w:val="right"/>
              <w:rPr/>
            </w:pPr>
            <w:r>
              <w:rPr/>
              <w:t>​</w:t>
            </w:r>
          </w:p>
        </w:tc>
        <w:tc>
          <w:tcPr>
            <w:tcW w:w="109" w:type="dxa"/>
            <w:tcBorders/>
            <w:vAlign w:val="center"/>
          </w:tcPr>
          <w:p>
            <w:pPr>
              <w:pStyle w:val="TableContents"/>
              <w:bidi w:val="0"/>
              <w:spacing w:lineRule="auto" w:line="307" w:before="0" w:after="160"/>
              <w:ind w:left="0" w:right="0" w:hanging="0"/>
              <w:jc w:val="center"/>
              <w:rPr/>
            </w:pPr>
            <w:r>
              <w:rPr/>
              <w:t>​</w:t>
            </w:r>
          </w:p>
        </w:tc>
        <w:tc>
          <w:tcPr>
            <w:tcW w:w="1109" w:type="dxa"/>
            <w:gridSpan w:val="3"/>
            <w:tcBorders/>
            <w:vAlign w:val="center"/>
          </w:tcPr>
          <w:p>
            <w:pPr>
              <w:pStyle w:val="TableContents"/>
              <w:bidi w:val="0"/>
              <w:spacing w:lineRule="auto" w:line="307" w:before="0" w:after="160"/>
              <w:ind w:left="0" w:right="0" w:hanging="0"/>
              <w:jc w:val="right"/>
              <w:rPr/>
            </w:pPr>
            <w:r>
              <w:rPr/>
              <w:t>​</w:t>
            </w:r>
          </w:p>
        </w:tc>
        <w:tc>
          <w:tcPr>
            <w:tcW w:w="199" w:type="dxa"/>
            <w:tcBorders/>
            <w:vAlign w:val="center"/>
          </w:tcPr>
          <w:p>
            <w:pPr>
              <w:pStyle w:val="TableContents"/>
              <w:bidi w:val="0"/>
              <w:spacing w:lineRule="auto" w:line="307" w:before="0" w:after="160"/>
              <w:ind w:left="0" w:right="0" w:hanging="0"/>
              <w:jc w:val="center"/>
              <w:rPr/>
            </w:pPr>
            <w:r>
              <w:rPr/>
              <w:t>​</w:t>
            </w:r>
          </w:p>
        </w:tc>
        <w:tc>
          <w:tcPr>
            <w:tcW w:w="1337" w:type="dxa"/>
            <w:gridSpan w:val="7"/>
            <w:tcBorders/>
            <w:vAlign w:val="center"/>
          </w:tcPr>
          <w:p>
            <w:pPr>
              <w:pStyle w:val="TableContents"/>
              <w:bidi w:val="0"/>
              <w:spacing w:lineRule="auto" w:line="307" w:before="0" w:after="160"/>
              <w:ind w:left="0" w:right="0" w:hanging="0"/>
              <w:jc w:val="right"/>
              <w:rPr/>
            </w:pPr>
            <w:r>
              <w:rPr/>
              <w:t>​</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Basic (in shares)</w:t>
            </w:r>
          </w:p>
        </w:tc>
        <w:tc>
          <w:tcPr>
            <w:tcW w:w="1037" w:type="dxa"/>
            <w:gridSpan w:val="3"/>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83,006,808</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78,151,240</w:t>
            </w:r>
          </w:p>
        </w:tc>
        <w:tc>
          <w:tcPr>
            <w:tcW w:w="109" w:type="dxa"/>
            <w:tcBorders/>
            <w:vAlign w:val="center"/>
          </w:tcPr>
          <w:p>
            <w:pPr>
              <w:pStyle w:val="TableContents"/>
              <w:bidi w:val="0"/>
              <w:spacing w:lineRule="auto" w:line="307" w:before="0" w:after="160"/>
              <w:ind w:left="0" w:right="0" w:hanging="0"/>
              <w:jc w:val="center"/>
              <w:rPr/>
            </w:pPr>
            <w:r>
              <w:rPr/>
              <w:t>​</w:t>
            </w:r>
          </w:p>
        </w:tc>
        <w:tc>
          <w:tcPr>
            <w:tcW w:w="1109" w:type="dxa"/>
            <w:gridSpan w:val="3"/>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82,765,248</w:t>
            </w:r>
          </w:p>
        </w:tc>
        <w:tc>
          <w:tcPr>
            <w:tcW w:w="199" w:type="dxa"/>
            <w:tcBorders/>
            <w:vAlign w:val="center"/>
          </w:tcPr>
          <w:p>
            <w:pPr>
              <w:pStyle w:val="TableContents"/>
              <w:bidi w:val="0"/>
              <w:spacing w:lineRule="auto" w:line="307" w:before="0" w:after="160"/>
              <w:ind w:left="0" w:right="0" w:hanging="0"/>
              <w:jc w:val="center"/>
              <w:rPr/>
            </w:pPr>
            <w:r>
              <w:rPr/>
              <w:t>​</w:t>
            </w:r>
          </w:p>
        </w:tc>
        <w:tc>
          <w:tcPr>
            <w:tcW w:w="1337" w:type="dxa"/>
            <w:gridSpan w:val="7"/>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78,438,830</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Diluted (in shares)</w:t>
            </w:r>
          </w:p>
        </w:tc>
        <w:tc>
          <w:tcPr>
            <w:tcW w:w="1037" w:type="dxa"/>
            <w:gridSpan w:val="3"/>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92,020,009</w:t>
            </w:r>
          </w:p>
        </w:tc>
        <w:tc>
          <w:tcPr>
            <w:tcW w:w="1533" w:type="dxa"/>
            <w:gridSpan w:val="4"/>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78,151,240</w:t>
            </w:r>
          </w:p>
        </w:tc>
        <w:tc>
          <w:tcPr>
            <w:tcW w:w="109" w:type="dxa"/>
            <w:tcBorders/>
            <w:vAlign w:val="center"/>
          </w:tcPr>
          <w:p>
            <w:pPr>
              <w:pStyle w:val="TableContents"/>
              <w:bidi w:val="0"/>
              <w:spacing w:lineRule="auto" w:line="307" w:before="0" w:after="160"/>
              <w:ind w:left="0" w:right="0" w:hanging="0"/>
              <w:jc w:val="center"/>
              <w:rPr/>
            </w:pPr>
            <w:r>
              <w:rPr/>
              <w:t>​</w:t>
            </w:r>
          </w:p>
        </w:tc>
        <w:tc>
          <w:tcPr>
            <w:tcW w:w="1109" w:type="dxa"/>
            <w:gridSpan w:val="3"/>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91,824,273</w:t>
            </w:r>
          </w:p>
        </w:tc>
        <w:tc>
          <w:tcPr>
            <w:tcW w:w="199" w:type="dxa"/>
            <w:tcBorders/>
            <w:vAlign w:val="center"/>
          </w:tcPr>
          <w:p>
            <w:pPr>
              <w:pStyle w:val="TableContents"/>
              <w:bidi w:val="0"/>
              <w:spacing w:lineRule="auto" w:line="307" w:before="0" w:after="160"/>
              <w:ind w:left="0" w:right="0" w:hanging="0"/>
              <w:jc w:val="center"/>
              <w:rPr/>
            </w:pPr>
            <w:r>
              <w:rPr/>
              <w:t>​</w:t>
            </w:r>
          </w:p>
        </w:tc>
        <w:tc>
          <w:tcPr>
            <w:tcW w:w="226" w:type="dxa"/>
            <w:tcBorders>
              <w:bottom w:val="double" w:sz="6" w:space="0" w:color="000000"/>
            </w:tcBorders>
            <w:tcMar>
              <w:bottom w:w="28" w:type="dxa"/>
            </w:tcMar>
            <w:vAlign w:val="center"/>
          </w:tcPr>
          <w:p>
            <w:pPr>
              <w:pStyle w:val="TableContents"/>
              <w:bidi w:val="0"/>
              <w:spacing w:lineRule="auto" w:line="307" w:before="0" w:after="160"/>
              <w:ind w:left="0" w:right="0" w:hanging="0"/>
              <w:jc w:val="center"/>
              <w:rPr/>
            </w:pPr>
            <w:r>
              <w:rPr/>
              <w:t>​</w:t>
            </w:r>
          </w:p>
        </w:tc>
        <w:tc>
          <w:tcPr>
            <w:tcW w:w="951" w:type="dxa"/>
            <w:gridSpan w:val="5"/>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86,502,578</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Net income (loss) per share—basic (in dollars per share)</w:t>
            </w:r>
          </w:p>
        </w:tc>
        <w:tc>
          <w:tcPr>
            <w:tcW w:w="346" w:type="dxa"/>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691"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1.01</w:t>
            </w:r>
          </w:p>
        </w:tc>
        <w:tc>
          <w:tcPr>
            <w:tcW w:w="160" w:type="dxa"/>
            <w:tcBorders/>
            <w:vAlign w:val="center"/>
          </w:tcPr>
          <w:p>
            <w:pPr>
              <w:pStyle w:val="TableContents"/>
              <w:bidi w:val="0"/>
              <w:spacing w:lineRule="auto" w:line="307" w:before="0" w:after="160"/>
              <w:ind w:left="0" w:right="0" w:hanging="0"/>
              <w:jc w:val="center"/>
              <w:rPr/>
            </w:pPr>
            <w:r>
              <w:rPr/>
              <w:t>​</w:t>
            </w:r>
          </w:p>
        </w:tc>
        <w:tc>
          <w:tcPr>
            <w:tcW w:w="323"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1050"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(0.83)</w:t>
            </w:r>
          </w:p>
        </w:tc>
        <w:tc>
          <w:tcPr>
            <w:tcW w:w="109" w:type="dxa"/>
            <w:tcBorders/>
            <w:vAlign w:val="center"/>
          </w:tcPr>
          <w:p>
            <w:pPr>
              <w:pStyle w:val="TableContents"/>
              <w:bidi w:val="0"/>
              <w:spacing w:lineRule="auto" w:line="307" w:before="0" w:after="160"/>
              <w:ind w:left="0" w:right="0" w:hanging="0"/>
              <w:jc w:val="center"/>
              <w:rPr/>
            </w:pPr>
            <w:r>
              <w:rPr/>
              <w:t>​</w:t>
            </w:r>
          </w:p>
        </w:tc>
        <w:tc>
          <w:tcPr>
            <w:tcW w:w="418" w:type="dxa"/>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691"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0.97</w:t>
            </w:r>
          </w:p>
        </w:tc>
        <w:tc>
          <w:tcPr>
            <w:tcW w:w="199" w:type="dxa"/>
            <w:tcBorders/>
            <w:vAlign w:val="center"/>
          </w:tcPr>
          <w:p>
            <w:pPr>
              <w:pStyle w:val="TableContents"/>
              <w:bidi w:val="0"/>
              <w:spacing w:lineRule="auto" w:line="307" w:before="0" w:after="160"/>
              <w:ind w:left="0" w:right="0" w:hanging="0"/>
              <w:jc w:val="center"/>
              <w:rPr/>
            </w:pPr>
            <w:r>
              <w:rPr/>
              <w:t>​</w:t>
            </w:r>
          </w:p>
        </w:tc>
        <w:tc>
          <w:tcPr>
            <w:tcW w:w="288"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1049" w:type="dxa"/>
            <w:gridSpan w:val="5"/>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10.22</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Net income (loss) per share—diluted (in dollars per share)</w:t>
            </w:r>
          </w:p>
        </w:tc>
        <w:tc>
          <w:tcPr>
            <w:tcW w:w="346" w:type="dxa"/>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691"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0.92</w:t>
            </w:r>
          </w:p>
        </w:tc>
        <w:tc>
          <w:tcPr>
            <w:tcW w:w="160" w:type="dxa"/>
            <w:tcBorders/>
            <w:vAlign w:val="center"/>
          </w:tcPr>
          <w:p>
            <w:pPr>
              <w:pStyle w:val="TableContents"/>
              <w:bidi w:val="0"/>
              <w:spacing w:lineRule="auto" w:line="307" w:before="0" w:after="160"/>
              <w:ind w:left="0" w:right="0" w:hanging="0"/>
              <w:jc w:val="center"/>
              <w:rPr/>
            </w:pPr>
            <w:r>
              <w:rPr/>
              <w:t>​</w:t>
            </w:r>
          </w:p>
        </w:tc>
        <w:tc>
          <w:tcPr>
            <w:tcW w:w="323"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1050"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(0.83)</w:t>
            </w:r>
          </w:p>
        </w:tc>
        <w:tc>
          <w:tcPr>
            <w:tcW w:w="109" w:type="dxa"/>
            <w:tcBorders/>
            <w:vAlign w:val="center"/>
          </w:tcPr>
          <w:p>
            <w:pPr>
              <w:pStyle w:val="TableContents"/>
              <w:bidi w:val="0"/>
              <w:spacing w:lineRule="auto" w:line="307" w:before="0" w:after="160"/>
              <w:ind w:left="0" w:right="0" w:hanging="0"/>
              <w:jc w:val="center"/>
              <w:rPr/>
            </w:pPr>
            <w:r>
              <w:rPr/>
              <w:t>​</w:t>
            </w:r>
          </w:p>
        </w:tc>
        <w:tc>
          <w:tcPr>
            <w:tcW w:w="418" w:type="dxa"/>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691"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0.90</w:t>
            </w:r>
          </w:p>
        </w:tc>
        <w:tc>
          <w:tcPr>
            <w:tcW w:w="199" w:type="dxa"/>
            <w:tcBorders/>
            <w:vAlign w:val="center"/>
          </w:tcPr>
          <w:p>
            <w:pPr>
              <w:pStyle w:val="TableContents"/>
              <w:bidi w:val="0"/>
              <w:spacing w:lineRule="auto" w:line="307" w:before="0" w:after="160"/>
              <w:ind w:left="0" w:right="0" w:hanging="0"/>
              <w:jc w:val="center"/>
              <w:rPr/>
            </w:pPr>
            <w:r>
              <w:rPr/>
              <w:t>​</w:t>
            </w:r>
          </w:p>
        </w:tc>
        <w:tc>
          <w:tcPr>
            <w:tcW w:w="288"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1049" w:type="dxa"/>
            <w:gridSpan w:val="5"/>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9.29</w:t>
            </w:r>
          </w:p>
        </w:tc>
      </w:tr>
      <w:tr>
        <w:trPr/>
        <w:tc>
          <w:tcPr>
            <w:tcW w:w="4881" w:type="dxa"/>
            <w:tcBorders/>
            <w:vAlign w:val="center"/>
          </w:tcPr>
          <w:p>
            <w:pPr>
              <w:pStyle w:val="TableContents"/>
              <w:bidi w:val="0"/>
              <w:spacing w:lineRule="auto" w:line="307" w:before="0" w:after="160"/>
              <w:ind w:left="0" w:right="0" w:hanging="0"/>
              <w:jc w:val="left"/>
              <w:rPr/>
            </w:pPr>
            <w:r>
              <w:rPr/>
              <w:t>​</w:t>
            </w:r>
          </w:p>
        </w:tc>
        <w:tc>
          <w:tcPr>
            <w:tcW w:w="1037" w:type="dxa"/>
            <w:gridSpan w:val="3"/>
            <w:tcBorders/>
            <w:vAlign w:val="center"/>
          </w:tcPr>
          <w:p>
            <w:pPr>
              <w:pStyle w:val="TableContents"/>
              <w:bidi w:val="0"/>
              <w:spacing w:lineRule="auto" w:line="307" w:before="0" w:after="160"/>
              <w:ind w:left="0" w:right="0" w:hanging="0"/>
              <w:jc w:val="center"/>
              <w:rPr/>
            </w:pPr>
            <w:r>
              <w:rPr/>
              <w:t>​</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vAlign w:val="center"/>
          </w:tcPr>
          <w:p>
            <w:pPr>
              <w:pStyle w:val="TableContents"/>
              <w:bidi w:val="0"/>
              <w:spacing w:lineRule="auto" w:line="307" w:before="0" w:after="160"/>
              <w:ind w:left="0" w:right="0" w:hanging="0"/>
              <w:jc w:val="right"/>
              <w:rPr/>
            </w:pPr>
            <w:r>
              <w:rPr/>
              <w:t>​</w:t>
            </w:r>
          </w:p>
        </w:tc>
        <w:tc>
          <w:tcPr>
            <w:tcW w:w="109" w:type="dxa"/>
            <w:tcBorders/>
            <w:vAlign w:val="center"/>
          </w:tcPr>
          <w:p>
            <w:pPr>
              <w:pStyle w:val="TableContents"/>
              <w:bidi w:val="0"/>
              <w:spacing w:lineRule="auto" w:line="307" w:before="0" w:after="160"/>
              <w:ind w:left="0" w:right="0" w:hanging="0"/>
              <w:jc w:val="center"/>
              <w:rPr/>
            </w:pPr>
            <w:r>
              <w:rPr/>
              <w:t>​</w:t>
            </w:r>
          </w:p>
        </w:tc>
        <w:tc>
          <w:tcPr>
            <w:tcW w:w="1109" w:type="dxa"/>
            <w:gridSpan w:val="3"/>
            <w:tcBorders/>
            <w:vAlign w:val="center"/>
          </w:tcPr>
          <w:p>
            <w:pPr>
              <w:pStyle w:val="TableContents"/>
              <w:bidi w:val="0"/>
              <w:spacing w:lineRule="auto" w:line="307" w:before="0" w:after="160"/>
              <w:ind w:left="0" w:right="0" w:hanging="0"/>
              <w:jc w:val="right"/>
              <w:rPr/>
            </w:pPr>
            <w:r>
              <w:rPr/>
              <w:t>​</w:t>
            </w:r>
          </w:p>
        </w:tc>
        <w:tc>
          <w:tcPr>
            <w:tcW w:w="199" w:type="dxa"/>
            <w:tcBorders/>
            <w:vAlign w:val="center"/>
          </w:tcPr>
          <w:p>
            <w:pPr>
              <w:pStyle w:val="TableContents"/>
              <w:bidi w:val="0"/>
              <w:spacing w:lineRule="auto" w:line="307" w:before="0" w:after="160"/>
              <w:ind w:left="0" w:right="0" w:hanging="0"/>
              <w:jc w:val="center"/>
              <w:rPr/>
            </w:pPr>
            <w:r>
              <w:rPr/>
              <w:t>​</w:t>
            </w:r>
          </w:p>
        </w:tc>
        <w:tc>
          <w:tcPr>
            <w:tcW w:w="1337" w:type="dxa"/>
            <w:gridSpan w:val="7"/>
            <w:tcBorders/>
            <w:vAlign w:val="center"/>
          </w:tcPr>
          <w:p>
            <w:pPr>
              <w:pStyle w:val="TableContents"/>
              <w:bidi w:val="0"/>
              <w:spacing w:lineRule="auto" w:line="307" w:before="0" w:after="160"/>
              <w:ind w:left="0" w:right="0" w:hanging="0"/>
              <w:jc w:val="right"/>
              <w:rPr/>
            </w:pPr>
            <w:r>
              <w:rPr/>
              <w:t>​</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b/>
                <w:sz w:val="16"/>
              </w:rPr>
            </w:pPr>
            <w:r>
              <w:rPr>
                <w:rFonts w:ascii="Arial;Helvetica;sans-serif" w:hAnsi="Arial;Helvetica;sans-serif"/>
                <w:b/>
                <w:sz w:val="16"/>
              </w:rPr>
              <w:t>(1) Research and development reconciliation</w:t>
            </w:r>
          </w:p>
        </w:tc>
        <w:tc>
          <w:tcPr>
            <w:tcW w:w="1037" w:type="dxa"/>
            <w:gridSpan w:val="3"/>
            <w:tcBorders/>
            <w:vAlign w:val="center"/>
          </w:tcPr>
          <w:p>
            <w:pPr>
              <w:pStyle w:val="TableContents"/>
              <w:bidi w:val="0"/>
              <w:spacing w:lineRule="auto" w:line="307" w:before="0" w:after="160"/>
              <w:ind w:left="0" w:right="0" w:hanging="0"/>
              <w:jc w:val="center"/>
              <w:rPr/>
            </w:pPr>
            <w:r>
              <w:rPr/>
              <w:t>​</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vAlign w:val="center"/>
          </w:tcPr>
          <w:p>
            <w:pPr>
              <w:pStyle w:val="TableContents"/>
              <w:bidi w:val="0"/>
              <w:spacing w:lineRule="auto" w:line="307" w:before="0" w:after="160"/>
              <w:ind w:left="0" w:right="0" w:hanging="0"/>
              <w:jc w:val="right"/>
              <w:rPr/>
            </w:pPr>
            <w:r>
              <w:rPr/>
              <w:t>​</w:t>
            </w:r>
          </w:p>
        </w:tc>
        <w:tc>
          <w:tcPr>
            <w:tcW w:w="109" w:type="dxa"/>
            <w:tcBorders/>
            <w:vAlign w:val="center"/>
          </w:tcPr>
          <w:p>
            <w:pPr>
              <w:pStyle w:val="TableContents"/>
              <w:bidi w:val="0"/>
              <w:spacing w:lineRule="auto" w:line="307" w:before="0" w:after="160"/>
              <w:ind w:left="0" w:right="0" w:hanging="0"/>
              <w:jc w:val="center"/>
              <w:rPr/>
            </w:pPr>
            <w:r>
              <w:rPr/>
              <w:t>​</w:t>
            </w:r>
          </w:p>
        </w:tc>
        <w:tc>
          <w:tcPr>
            <w:tcW w:w="1109" w:type="dxa"/>
            <w:gridSpan w:val="3"/>
            <w:tcBorders/>
            <w:vAlign w:val="center"/>
          </w:tcPr>
          <w:p>
            <w:pPr>
              <w:pStyle w:val="TableContents"/>
              <w:bidi w:val="0"/>
              <w:spacing w:lineRule="auto" w:line="307" w:before="0" w:after="160"/>
              <w:ind w:left="0" w:right="0" w:hanging="0"/>
              <w:jc w:val="right"/>
              <w:rPr/>
            </w:pPr>
            <w:r>
              <w:rPr/>
              <w:t>​</w:t>
            </w:r>
          </w:p>
        </w:tc>
        <w:tc>
          <w:tcPr>
            <w:tcW w:w="199" w:type="dxa"/>
            <w:tcBorders/>
            <w:vAlign w:val="center"/>
          </w:tcPr>
          <w:p>
            <w:pPr>
              <w:pStyle w:val="TableContents"/>
              <w:bidi w:val="0"/>
              <w:spacing w:lineRule="auto" w:line="307" w:before="0" w:after="160"/>
              <w:ind w:left="0" w:right="0" w:hanging="0"/>
              <w:jc w:val="center"/>
              <w:rPr/>
            </w:pPr>
            <w:r>
              <w:rPr/>
              <w:t>​</w:t>
            </w:r>
          </w:p>
        </w:tc>
        <w:tc>
          <w:tcPr>
            <w:tcW w:w="1337" w:type="dxa"/>
            <w:gridSpan w:val="7"/>
            <w:tcBorders/>
            <w:vAlign w:val="center"/>
          </w:tcPr>
          <w:p>
            <w:pPr>
              <w:pStyle w:val="TableContents"/>
              <w:bidi w:val="0"/>
              <w:spacing w:lineRule="auto" w:line="307" w:before="0" w:after="160"/>
              <w:ind w:left="0" w:right="0" w:hanging="0"/>
              <w:jc w:val="right"/>
              <w:rPr/>
            </w:pPr>
            <w:r>
              <w:rPr/>
              <w:t>​</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GAAP research and development</w:t>
            </w:r>
          </w:p>
        </w:tc>
        <w:tc>
          <w:tcPr>
            <w:tcW w:w="346" w:type="dxa"/>
            <w:tcBorders/>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691" w:type="dxa"/>
            <w:gridSpan w:val="2"/>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99,150</w:t>
            </w:r>
          </w:p>
        </w:tc>
        <w:tc>
          <w:tcPr>
            <w:tcW w:w="160" w:type="dxa"/>
            <w:tcBorders/>
            <w:vAlign w:val="center"/>
          </w:tcPr>
          <w:p>
            <w:pPr>
              <w:pStyle w:val="TableContents"/>
              <w:bidi w:val="0"/>
              <w:spacing w:lineRule="auto" w:line="307" w:before="0" w:after="160"/>
              <w:ind w:left="0" w:right="0" w:hanging="0"/>
              <w:jc w:val="center"/>
              <w:rPr/>
            </w:pPr>
            <w:r>
              <w:rPr/>
              <w:t>​</w:t>
            </w:r>
          </w:p>
        </w:tc>
        <w:tc>
          <w:tcPr>
            <w:tcW w:w="323" w:type="dxa"/>
            <w:gridSpan w:val="2"/>
            <w:tcBorders/>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1050" w:type="dxa"/>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112,990</w:t>
            </w:r>
          </w:p>
        </w:tc>
        <w:tc>
          <w:tcPr>
            <w:tcW w:w="109" w:type="dxa"/>
            <w:tcBorders/>
            <w:vAlign w:val="center"/>
          </w:tcPr>
          <w:p>
            <w:pPr>
              <w:pStyle w:val="TableContents"/>
              <w:bidi w:val="0"/>
              <w:spacing w:lineRule="auto" w:line="307" w:before="0" w:after="160"/>
              <w:ind w:left="0" w:right="0" w:hanging="0"/>
              <w:jc w:val="center"/>
              <w:rPr/>
            </w:pPr>
            <w:r>
              <w:rPr/>
              <w:t>​</w:t>
            </w:r>
          </w:p>
        </w:tc>
        <w:tc>
          <w:tcPr>
            <w:tcW w:w="418" w:type="dxa"/>
            <w:tcBorders/>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691" w:type="dxa"/>
            <w:gridSpan w:val="2"/>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200,023</w:t>
            </w:r>
          </w:p>
        </w:tc>
        <w:tc>
          <w:tcPr>
            <w:tcW w:w="199" w:type="dxa"/>
            <w:tcBorders/>
            <w:vAlign w:val="center"/>
          </w:tcPr>
          <w:p>
            <w:pPr>
              <w:pStyle w:val="TableContents"/>
              <w:bidi w:val="0"/>
              <w:spacing w:lineRule="auto" w:line="307" w:before="0" w:after="160"/>
              <w:ind w:left="0" w:right="0" w:hanging="0"/>
              <w:jc w:val="center"/>
              <w:rPr/>
            </w:pPr>
            <w:r>
              <w:rPr/>
              <w:t>​</w:t>
            </w:r>
          </w:p>
        </w:tc>
        <w:tc>
          <w:tcPr>
            <w:tcW w:w="288" w:type="dxa"/>
            <w:gridSpan w:val="2"/>
            <w:tcBorders/>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1049" w:type="dxa"/>
            <w:gridSpan w:val="5"/>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221,963</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Less: share-based compensation expense</w:t>
            </w:r>
          </w:p>
        </w:tc>
        <w:tc>
          <w:tcPr>
            <w:tcW w:w="1037"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10,547</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9,030</w:t>
            </w:r>
          </w:p>
        </w:tc>
        <w:tc>
          <w:tcPr>
            <w:tcW w:w="109" w:type="dxa"/>
            <w:tcBorders/>
            <w:vAlign w:val="center"/>
          </w:tcPr>
          <w:p>
            <w:pPr>
              <w:pStyle w:val="TableContents"/>
              <w:bidi w:val="0"/>
              <w:spacing w:lineRule="auto" w:line="307" w:before="0" w:after="160"/>
              <w:ind w:left="0" w:right="0" w:hanging="0"/>
              <w:jc w:val="center"/>
              <w:rPr/>
            </w:pPr>
            <w:r>
              <w:rPr/>
              <w:t>​</w:t>
            </w:r>
          </w:p>
        </w:tc>
        <w:tc>
          <w:tcPr>
            <w:tcW w:w="1109"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21,677</w:t>
            </w:r>
          </w:p>
        </w:tc>
        <w:tc>
          <w:tcPr>
            <w:tcW w:w="199" w:type="dxa"/>
            <w:tcBorders/>
            <w:vAlign w:val="center"/>
          </w:tcPr>
          <w:p>
            <w:pPr>
              <w:pStyle w:val="TableContents"/>
              <w:bidi w:val="0"/>
              <w:spacing w:lineRule="auto" w:line="307" w:before="0" w:after="160"/>
              <w:ind w:left="0" w:right="0" w:hanging="0"/>
              <w:jc w:val="center"/>
              <w:rPr/>
            </w:pPr>
            <w:r>
              <w:rPr/>
              <w:t>​</w:t>
            </w:r>
          </w:p>
        </w:tc>
        <w:tc>
          <w:tcPr>
            <w:tcW w:w="1337" w:type="dxa"/>
            <w:gridSpan w:val="7"/>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17,693</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b/>
                <w:sz w:val="16"/>
              </w:rPr>
            </w:pPr>
            <w:r>
              <w:rPr>
                <w:rFonts w:ascii="Arial;Helvetica;sans-serif" w:hAnsi="Arial;Helvetica;sans-serif"/>
                <w:b/>
                <w:sz w:val="16"/>
              </w:rPr>
              <w:t>Non-GAAP research and development</w:t>
            </w:r>
          </w:p>
        </w:tc>
        <w:tc>
          <w:tcPr>
            <w:tcW w:w="346" w:type="dxa"/>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691"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88,603</w:t>
            </w:r>
          </w:p>
        </w:tc>
        <w:tc>
          <w:tcPr>
            <w:tcW w:w="160" w:type="dxa"/>
            <w:tcBorders/>
            <w:vAlign w:val="center"/>
          </w:tcPr>
          <w:p>
            <w:pPr>
              <w:pStyle w:val="TableContents"/>
              <w:bidi w:val="0"/>
              <w:spacing w:lineRule="auto" w:line="307" w:before="0" w:after="160"/>
              <w:ind w:left="0" w:right="0" w:hanging="0"/>
              <w:jc w:val="center"/>
              <w:rPr/>
            </w:pPr>
            <w:r>
              <w:rPr/>
              <w:t>​</w:t>
            </w:r>
          </w:p>
        </w:tc>
        <w:tc>
          <w:tcPr>
            <w:tcW w:w="323"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1050"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103,960</w:t>
            </w:r>
          </w:p>
        </w:tc>
        <w:tc>
          <w:tcPr>
            <w:tcW w:w="109" w:type="dxa"/>
            <w:tcBorders/>
            <w:vAlign w:val="center"/>
          </w:tcPr>
          <w:p>
            <w:pPr>
              <w:pStyle w:val="TableContents"/>
              <w:bidi w:val="0"/>
              <w:spacing w:lineRule="auto" w:line="307" w:before="0" w:after="160"/>
              <w:ind w:left="0" w:right="0" w:hanging="0"/>
              <w:jc w:val="center"/>
              <w:rPr/>
            </w:pPr>
            <w:r>
              <w:rPr/>
              <w:t>​</w:t>
            </w:r>
          </w:p>
        </w:tc>
        <w:tc>
          <w:tcPr>
            <w:tcW w:w="418" w:type="dxa"/>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691"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178,346</w:t>
            </w:r>
          </w:p>
        </w:tc>
        <w:tc>
          <w:tcPr>
            <w:tcW w:w="199" w:type="dxa"/>
            <w:tcBorders/>
            <w:vAlign w:val="center"/>
          </w:tcPr>
          <w:p>
            <w:pPr>
              <w:pStyle w:val="TableContents"/>
              <w:bidi w:val="0"/>
              <w:spacing w:lineRule="auto" w:line="307" w:before="0" w:after="160"/>
              <w:ind w:left="0" w:right="0" w:hanging="0"/>
              <w:jc w:val="center"/>
              <w:rPr/>
            </w:pPr>
            <w:r>
              <w:rPr/>
              <w:t>​</w:t>
            </w:r>
          </w:p>
        </w:tc>
        <w:tc>
          <w:tcPr>
            <w:tcW w:w="288"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1049" w:type="dxa"/>
            <w:gridSpan w:val="5"/>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204,270</w:t>
            </w:r>
          </w:p>
        </w:tc>
      </w:tr>
      <w:tr>
        <w:trPr/>
        <w:tc>
          <w:tcPr>
            <w:tcW w:w="4881" w:type="dxa"/>
            <w:tcBorders/>
            <w:vAlign w:val="center"/>
          </w:tcPr>
          <w:p>
            <w:pPr>
              <w:pStyle w:val="TableContents"/>
              <w:bidi w:val="0"/>
              <w:spacing w:lineRule="auto" w:line="307" w:before="0" w:after="160"/>
              <w:ind w:left="0" w:right="0" w:hanging="0"/>
              <w:jc w:val="left"/>
              <w:rPr/>
            </w:pPr>
            <w:r>
              <w:rPr/>
              <w:t>​</w:t>
            </w:r>
          </w:p>
        </w:tc>
        <w:tc>
          <w:tcPr>
            <w:tcW w:w="1037" w:type="dxa"/>
            <w:gridSpan w:val="3"/>
            <w:tcBorders/>
            <w:vAlign w:val="center"/>
          </w:tcPr>
          <w:p>
            <w:pPr>
              <w:pStyle w:val="TableContents"/>
              <w:bidi w:val="0"/>
              <w:spacing w:lineRule="auto" w:line="307" w:before="0" w:after="160"/>
              <w:ind w:left="0" w:right="0" w:hanging="0"/>
              <w:jc w:val="right"/>
              <w:rPr/>
            </w:pPr>
            <w:r>
              <w:rPr/>
              <w:t>​</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vAlign w:val="center"/>
          </w:tcPr>
          <w:p>
            <w:pPr>
              <w:pStyle w:val="TableContents"/>
              <w:bidi w:val="0"/>
              <w:spacing w:lineRule="auto" w:line="307" w:before="0" w:after="160"/>
              <w:ind w:left="0" w:right="0" w:hanging="0"/>
              <w:jc w:val="right"/>
              <w:rPr/>
            </w:pPr>
            <w:r>
              <w:rPr/>
              <w:t>​</w:t>
            </w:r>
          </w:p>
        </w:tc>
        <w:tc>
          <w:tcPr>
            <w:tcW w:w="109" w:type="dxa"/>
            <w:tcBorders/>
            <w:vAlign w:val="center"/>
          </w:tcPr>
          <w:p>
            <w:pPr>
              <w:pStyle w:val="TableContents"/>
              <w:bidi w:val="0"/>
              <w:spacing w:lineRule="auto" w:line="307" w:before="0" w:after="160"/>
              <w:ind w:left="0" w:right="0" w:hanging="0"/>
              <w:jc w:val="center"/>
              <w:rPr/>
            </w:pPr>
            <w:r>
              <w:rPr/>
              <w:t>​</w:t>
            </w:r>
          </w:p>
        </w:tc>
        <w:tc>
          <w:tcPr>
            <w:tcW w:w="1109" w:type="dxa"/>
            <w:gridSpan w:val="3"/>
            <w:tcBorders/>
            <w:vAlign w:val="center"/>
          </w:tcPr>
          <w:p>
            <w:pPr>
              <w:pStyle w:val="TableContents"/>
              <w:bidi w:val="0"/>
              <w:spacing w:lineRule="auto" w:line="307" w:before="0" w:after="160"/>
              <w:ind w:left="0" w:right="0" w:hanging="0"/>
              <w:jc w:val="right"/>
              <w:rPr/>
            </w:pPr>
            <w:r>
              <w:rPr/>
              <w:t>​</w:t>
            </w:r>
          </w:p>
        </w:tc>
        <w:tc>
          <w:tcPr>
            <w:tcW w:w="199" w:type="dxa"/>
            <w:tcBorders/>
            <w:vAlign w:val="center"/>
          </w:tcPr>
          <w:p>
            <w:pPr>
              <w:pStyle w:val="TableContents"/>
              <w:bidi w:val="0"/>
              <w:spacing w:lineRule="auto" w:line="307" w:before="0" w:after="160"/>
              <w:ind w:left="0" w:right="0" w:hanging="0"/>
              <w:jc w:val="center"/>
              <w:rPr/>
            </w:pPr>
            <w:r>
              <w:rPr/>
              <w:t>​</w:t>
            </w:r>
          </w:p>
        </w:tc>
        <w:tc>
          <w:tcPr>
            <w:tcW w:w="1337" w:type="dxa"/>
            <w:gridSpan w:val="7"/>
            <w:tcBorders/>
            <w:vAlign w:val="center"/>
          </w:tcPr>
          <w:p>
            <w:pPr>
              <w:pStyle w:val="TableContents"/>
              <w:bidi w:val="0"/>
              <w:spacing w:lineRule="auto" w:line="307" w:before="0" w:after="160"/>
              <w:ind w:left="0" w:right="0" w:hanging="0"/>
              <w:jc w:val="right"/>
              <w:rPr/>
            </w:pPr>
            <w:r>
              <w:rPr/>
              <w:t>​</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b/>
                <w:sz w:val="16"/>
              </w:rPr>
            </w:pPr>
            <w:r>
              <w:rPr>
                <w:rFonts w:ascii="Arial;Helvetica;sans-serif" w:hAnsi="Arial;Helvetica;sans-serif"/>
                <w:b/>
                <w:sz w:val="16"/>
              </w:rPr>
              <w:t>(2) Selling, general and administrative reconciliation</w:t>
            </w:r>
          </w:p>
        </w:tc>
        <w:tc>
          <w:tcPr>
            <w:tcW w:w="1037" w:type="dxa"/>
            <w:gridSpan w:val="3"/>
            <w:tcBorders/>
            <w:vAlign w:val="center"/>
          </w:tcPr>
          <w:p>
            <w:pPr>
              <w:pStyle w:val="TableContents"/>
              <w:bidi w:val="0"/>
              <w:spacing w:lineRule="auto" w:line="307" w:before="0" w:after="160"/>
              <w:ind w:left="0" w:right="0" w:hanging="0"/>
              <w:jc w:val="right"/>
              <w:rPr/>
            </w:pPr>
            <w:r>
              <w:rPr/>
              <w:t>​</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vAlign w:val="center"/>
          </w:tcPr>
          <w:p>
            <w:pPr>
              <w:pStyle w:val="TableContents"/>
              <w:bidi w:val="0"/>
              <w:spacing w:lineRule="auto" w:line="307" w:before="0" w:after="160"/>
              <w:ind w:left="0" w:right="0" w:hanging="0"/>
              <w:jc w:val="right"/>
              <w:rPr/>
            </w:pPr>
            <w:r>
              <w:rPr/>
              <w:t>​</w:t>
            </w:r>
          </w:p>
        </w:tc>
        <w:tc>
          <w:tcPr>
            <w:tcW w:w="109" w:type="dxa"/>
            <w:tcBorders/>
            <w:vAlign w:val="center"/>
          </w:tcPr>
          <w:p>
            <w:pPr>
              <w:pStyle w:val="TableContents"/>
              <w:bidi w:val="0"/>
              <w:spacing w:lineRule="auto" w:line="307" w:before="0" w:after="160"/>
              <w:ind w:left="0" w:right="0" w:hanging="0"/>
              <w:jc w:val="center"/>
              <w:rPr/>
            </w:pPr>
            <w:r>
              <w:rPr/>
              <w:t>​</w:t>
            </w:r>
          </w:p>
        </w:tc>
        <w:tc>
          <w:tcPr>
            <w:tcW w:w="1109" w:type="dxa"/>
            <w:gridSpan w:val="3"/>
            <w:tcBorders/>
            <w:vAlign w:val="center"/>
          </w:tcPr>
          <w:p>
            <w:pPr>
              <w:pStyle w:val="TableContents"/>
              <w:bidi w:val="0"/>
              <w:spacing w:lineRule="auto" w:line="307" w:before="0" w:after="160"/>
              <w:ind w:left="0" w:right="0" w:hanging="0"/>
              <w:jc w:val="right"/>
              <w:rPr/>
            </w:pPr>
            <w:r>
              <w:rPr/>
              <w:t>​</w:t>
            </w:r>
          </w:p>
        </w:tc>
        <w:tc>
          <w:tcPr>
            <w:tcW w:w="199" w:type="dxa"/>
            <w:tcBorders/>
            <w:vAlign w:val="center"/>
          </w:tcPr>
          <w:p>
            <w:pPr>
              <w:pStyle w:val="TableContents"/>
              <w:bidi w:val="0"/>
              <w:spacing w:lineRule="auto" w:line="307" w:before="0" w:after="160"/>
              <w:ind w:left="0" w:right="0" w:hanging="0"/>
              <w:jc w:val="center"/>
              <w:rPr/>
            </w:pPr>
            <w:r>
              <w:rPr/>
              <w:t>​</w:t>
            </w:r>
          </w:p>
        </w:tc>
        <w:tc>
          <w:tcPr>
            <w:tcW w:w="1337" w:type="dxa"/>
            <w:gridSpan w:val="7"/>
            <w:tcBorders/>
            <w:vAlign w:val="center"/>
          </w:tcPr>
          <w:p>
            <w:pPr>
              <w:pStyle w:val="TableContents"/>
              <w:bidi w:val="0"/>
              <w:spacing w:lineRule="auto" w:line="307" w:before="0" w:after="160"/>
              <w:ind w:left="0" w:right="0" w:hanging="0"/>
              <w:jc w:val="right"/>
              <w:rPr/>
            </w:pPr>
            <w:r>
              <w:rPr/>
              <w:t>​</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GAAP selling, general and administrative</w:t>
            </w:r>
          </w:p>
        </w:tc>
        <w:tc>
          <w:tcPr>
            <w:tcW w:w="346" w:type="dxa"/>
            <w:tcBorders/>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691" w:type="dxa"/>
            <w:gridSpan w:val="2"/>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80,630</w:t>
            </w:r>
          </w:p>
        </w:tc>
        <w:tc>
          <w:tcPr>
            <w:tcW w:w="160" w:type="dxa"/>
            <w:tcBorders/>
            <w:vAlign w:val="center"/>
          </w:tcPr>
          <w:p>
            <w:pPr>
              <w:pStyle w:val="TableContents"/>
              <w:bidi w:val="0"/>
              <w:spacing w:lineRule="auto" w:line="307" w:before="0" w:after="160"/>
              <w:ind w:left="0" w:right="0" w:hanging="0"/>
              <w:jc w:val="center"/>
              <w:rPr/>
            </w:pPr>
            <w:r>
              <w:rPr/>
              <w:t>​</w:t>
            </w:r>
          </w:p>
        </w:tc>
        <w:tc>
          <w:tcPr>
            <w:tcW w:w="323" w:type="dxa"/>
            <w:gridSpan w:val="2"/>
            <w:tcBorders/>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1050" w:type="dxa"/>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85,262</w:t>
            </w:r>
          </w:p>
        </w:tc>
        <w:tc>
          <w:tcPr>
            <w:tcW w:w="109" w:type="dxa"/>
            <w:tcBorders/>
            <w:vAlign w:val="center"/>
          </w:tcPr>
          <w:p>
            <w:pPr>
              <w:pStyle w:val="TableContents"/>
              <w:bidi w:val="0"/>
              <w:spacing w:lineRule="auto" w:line="307" w:before="0" w:after="160"/>
              <w:ind w:left="0" w:right="0" w:hanging="0"/>
              <w:jc w:val="center"/>
              <w:rPr/>
            </w:pPr>
            <w:r>
              <w:rPr/>
              <w:t>​</w:t>
            </w:r>
          </w:p>
        </w:tc>
        <w:tc>
          <w:tcPr>
            <w:tcW w:w="418" w:type="dxa"/>
            <w:tcBorders/>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691" w:type="dxa"/>
            <w:gridSpan w:val="2"/>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166,813</w:t>
            </w:r>
          </w:p>
        </w:tc>
        <w:tc>
          <w:tcPr>
            <w:tcW w:w="199" w:type="dxa"/>
            <w:tcBorders/>
            <w:vAlign w:val="center"/>
          </w:tcPr>
          <w:p>
            <w:pPr>
              <w:pStyle w:val="TableContents"/>
              <w:bidi w:val="0"/>
              <w:spacing w:lineRule="auto" w:line="307" w:before="0" w:after="160"/>
              <w:ind w:left="0" w:right="0" w:hanging="0"/>
              <w:jc w:val="center"/>
              <w:rPr/>
            </w:pPr>
            <w:r>
              <w:rPr/>
              <w:t>​</w:t>
            </w:r>
          </w:p>
        </w:tc>
        <w:tc>
          <w:tcPr>
            <w:tcW w:w="288" w:type="dxa"/>
            <w:gridSpan w:val="2"/>
            <w:tcBorders/>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1049" w:type="dxa"/>
            <w:gridSpan w:val="5"/>
            <w:tcBorders/>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166,223</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sz w:val="16"/>
              </w:rPr>
            </w:pPr>
            <w:r>
              <w:rPr>
                <w:rFonts w:ascii="Arial;Helvetica;sans-serif" w:hAnsi="Arial;Helvetica;sans-serif"/>
                <w:sz w:val="16"/>
              </w:rPr>
              <w:t>Less: share-based compensation expense</w:t>
            </w:r>
          </w:p>
        </w:tc>
        <w:tc>
          <w:tcPr>
            <w:tcW w:w="1037"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12,744</w:t>
            </w:r>
          </w:p>
        </w:tc>
        <w:tc>
          <w:tcPr>
            <w:tcW w:w="160" w:type="dxa"/>
            <w:tcBorders/>
            <w:vAlign w:val="center"/>
          </w:tcPr>
          <w:p>
            <w:pPr>
              <w:pStyle w:val="TableContents"/>
              <w:bidi w:val="0"/>
              <w:spacing w:lineRule="auto" w:line="307" w:before="0" w:after="160"/>
              <w:ind w:left="0" w:right="0" w:hanging="0"/>
              <w:jc w:val="center"/>
              <w:rPr/>
            </w:pPr>
            <w:r>
              <w:rPr/>
              <w:t>​</w:t>
            </w:r>
          </w:p>
        </w:tc>
        <w:tc>
          <w:tcPr>
            <w:tcW w:w="137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9,513</w:t>
            </w:r>
          </w:p>
        </w:tc>
        <w:tc>
          <w:tcPr>
            <w:tcW w:w="109" w:type="dxa"/>
            <w:tcBorders/>
            <w:vAlign w:val="center"/>
          </w:tcPr>
          <w:p>
            <w:pPr>
              <w:pStyle w:val="TableContents"/>
              <w:bidi w:val="0"/>
              <w:spacing w:lineRule="auto" w:line="307" w:before="0" w:after="160"/>
              <w:ind w:left="0" w:right="0" w:hanging="0"/>
              <w:jc w:val="center"/>
              <w:rPr/>
            </w:pPr>
            <w:r>
              <w:rPr/>
              <w:t>​</w:t>
            </w:r>
          </w:p>
        </w:tc>
        <w:tc>
          <w:tcPr>
            <w:tcW w:w="1109"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25,035</w:t>
            </w:r>
          </w:p>
        </w:tc>
        <w:tc>
          <w:tcPr>
            <w:tcW w:w="199" w:type="dxa"/>
            <w:tcBorders/>
            <w:vAlign w:val="center"/>
          </w:tcPr>
          <w:p>
            <w:pPr>
              <w:pStyle w:val="TableContents"/>
              <w:bidi w:val="0"/>
              <w:spacing w:lineRule="auto" w:line="307" w:before="0" w:after="160"/>
              <w:ind w:left="0" w:right="0" w:hanging="0"/>
              <w:jc w:val="center"/>
              <w:rPr/>
            </w:pPr>
            <w:r>
              <w:rPr/>
              <w:t>​</w:t>
            </w:r>
          </w:p>
        </w:tc>
        <w:tc>
          <w:tcPr>
            <w:tcW w:w="1337" w:type="dxa"/>
            <w:gridSpan w:val="7"/>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18,910</w:t>
            </w:r>
          </w:p>
        </w:tc>
      </w:tr>
      <w:tr>
        <w:trPr/>
        <w:tc>
          <w:tcPr>
            <w:tcW w:w="4881" w:type="dxa"/>
            <w:tcBorders/>
            <w:vAlign w:val="center"/>
          </w:tcPr>
          <w:p>
            <w:pPr>
              <w:pStyle w:val="TableContents"/>
              <w:bidi w:val="0"/>
              <w:spacing w:lineRule="auto" w:line="307" w:before="0" w:after="1"/>
              <w:ind w:left="0" w:right="0" w:hanging="0"/>
              <w:jc w:val="left"/>
              <w:rPr>
                <w:rFonts w:ascii="Arial;Helvetica;sans-serif" w:hAnsi="Arial;Helvetica;sans-serif"/>
                <w:b/>
                <w:sz w:val="16"/>
              </w:rPr>
            </w:pPr>
            <w:r>
              <w:rPr>
                <w:rFonts w:ascii="Arial;Helvetica;sans-serif" w:hAnsi="Arial;Helvetica;sans-serif"/>
                <w:b/>
                <w:sz w:val="16"/>
              </w:rPr>
              <w:t>Non-GAAP selling, general and administrative</w:t>
            </w:r>
          </w:p>
        </w:tc>
        <w:tc>
          <w:tcPr>
            <w:tcW w:w="346" w:type="dxa"/>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691"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67,886</w:t>
            </w:r>
          </w:p>
        </w:tc>
        <w:tc>
          <w:tcPr>
            <w:tcW w:w="160" w:type="dxa"/>
            <w:tcBorders/>
            <w:vAlign w:val="center"/>
          </w:tcPr>
          <w:p>
            <w:pPr>
              <w:pStyle w:val="TableContents"/>
              <w:bidi w:val="0"/>
              <w:spacing w:lineRule="auto" w:line="307" w:before="0" w:after="160"/>
              <w:ind w:left="0" w:right="0" w:hanging="0"/>
              <w:jc w:val="center"/>
              <w:rPr/>
            </w:pPr>
            <w:r>
              <w:rPr/>
              <w:t>​</w:t>
            </w:r>
          </w:p>
        </w:tc>
        <w:tc>
          <w:tcPr>
            <w:tcW w:w="323"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1050"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75,749</w:t>
            </w:r>
          </w:p>
        </w:tc>
        <w:tc>
          <w:tcPr>
            <w:tcW w:w="109" w:type="dxa"/>
            <w:tcBorders/>
            <w:vAlign w:val="center"/>
          </w:tcPr>
          <w:p>
            <w:pPr>
              <w:pStyle w:val="TableContents"/>
              <w:bidi w:val="0"/>
              <w:spacing w:lineRule="auto" w:line="307" w:before="0" w:after="160"/>
              <w:ind w:left="0" w:right="0" w:hanging="0"/>
              <w:jc w:val="center"/>
              <w:rPr/>
            </w:pPr>
            <w:r>
              <w:rPr/>
              <w:t>​</w:t>
            </w:r>
          </w:p>
        </w:tc>
        <w:tc>
          <w:tcPr>
            <w:tcW w:w="418" w:type="dxa"/>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691"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141,778</w:t>
            </w:r>
          </w:p>
        </w:tc>
        <w:tc>
          <w:tcPr>
            <w:tcW w:w="199" w:type="dxa"/>
            <w:tcBorders/>
            <w:vAlign w:val="center"/>
          </w:tcPr>
          <w:p>
            <w:pPr>
              <w:pStyle w:val="TableContents"/>
              <w:bidi w:val="0"/>
              <w:spacing w:lineRule="auto" w:line="307" w:before="0" w:after="160"/>
              <w:ind w:left="0" w:right="0" w:hanging="0"/>
              <w:jc w:val="center"/>
              <w:rPr/>
            </w:pPr>
            <w:r>
              <w:rPr/>
              <w:t>​</w:t>
            </w:r>
          </w:p>
        </w:tc>
        <w:tc>
          <w:tcPr>
            <w:tcW w:w="288"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sz w:val="16"/>
              </w:rPr>
            </w:pPr>
            <w:r>
              <w:rPr>
                <w:rFonts w:ascii="Arial;Helvetica;sans-serif" w:hAnsi="Arial;Helvetica;sans-serif"/>
                <w:sz w:val="16"/>
              </w:rPr>
              <w:t>$</w:t>
            </w:r>
          </w:p>
        </w:tc>
        <w:tc>
          <w:tcPr>
            <w:tcW w:w="1049" w:type="dxa"/>
            <w:gridSpan w:val="5"/>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16"/>
              </w:rPr>
            </w:pPr>
            <w:r>
              <w:rPr>
                <w:rFonts w:ascii="Arial;Helvetica;sans-serif" w:hAnsi="Arial;Helvetica;sans-serif"/>
                <w:sz w:val="16"/>
              </w:rPr>
              <w:t>147,313</w:t>
            </w:r>
          </w:p>
        </w:tc>
      </w:tr>
      <w:tr>
        <w:trPr/>
        <w:tc>
          <w:tcPr>
            <w:tcW w:w="4881" w:type="dxa"/>
            <w:tcBorders/>
            <w:vAlign w:val="center"/>
          </w:tcPr>
          <w:p>
            <w:pPr>
              <w:pStyle w:val="TableContents"/>
              <w:bidi w:val="0"/>
              <w:spacing w:lineRule="auto" w:line="307" w:before="0" w:after="160"/>
              <w:ind w:left="0" w:right="0" w:hanging="0"/>
              <w:jc w:val="left"/>
              <w:rPr/>
            </w:pPr>
            <w:r>
              <w:rPr/>
              <w:t>​</w:t>
            </w:r>
          </w:p>
        </w:tc>
        <w:tc>
          <w:tcPr>
            <w:tcW w:w="1037" w:type="dxa"/>
            <w:gridSpan w:val="3"/>
            <w:tcBorders/>
            <w:vAlign w:val="center"/>
          </w:tcPr>
          <w:p>
            <w:pPr>
              <w:pStyle w:val="TableContents"/>
              <w:bidi w:val="0"/>
              <w:spacing w:lineRule="auto" w:line="307" w:before="0" w:after="160"/>
              <w:ind w:left="0" w:right="0" w:hanging="0"/>
              <w:jc w:val="left"/>
              <w:rPr/>
            </w:pPr>
            <w:r>
              <w:rPr/>
              <w:t>​</w:t>
            </w:r>
          </w:p>
        </w:tc>
        <w:tc>
          <w:tcPr>
            <w:tcW w:w="160" w:type="dxa"/>
            <w:tcBorders/>
            <w:vAlign w:val="center"/>
          </w:tcPr>
          <w:p>
            <w:pPr>
              <w:pStyle w:val="TableContents"/>
              <w:bidi w:val="0"/>
              <w:spacing w:lineRule="auto" w:line="307" w:before="0" w:after="160"/>
              <w:ind w:left="0" w:right="0" w:hanging="0"/>
              <w:jc w:val="left"/>
              <w:rPr/>
            </w:pPr>
            <w:r>
              <w:rPr/>
              <w:t>​</w:t>
            </w:r>
          </w:p>
        </w:tc>
        <w:tc>
          <w:tcPr>
            <w:tcW w:w="1373" w:type="dxa"/>
            <w:gridSpan w:val="3"/>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1109" w:type="dxa"/>
            <w:gridSpan w:val="3"/>
            <w:tcBorders/>
            <w:vAlign w:val="center"/>
          </w:tcPr>
          <w:p>
            <w:pPr>
              <w:pStyle w:val="TableContents"/>
              <w:bidi w:val="0"/>
              <w:spacing w:lineRule="auto" w:line="307" w:before="0" w:after="160"/>
              <w:ind w:left="0" w:right="0" w:hanging="0"/>
              <w:jc w:val="left"/>
              <w:rPr/>
            </w:pPr>
            <w:r>
              <w:rPr/>
              <w:t>​</w:t>
            </w:r>
          </w:p>
        </w:tc>
        <w:tc>
          <w:tcPr>
            <w:tcW w:w="199" w:type="dxa"/>
            <w:tcBorders/>
            <w:vAlign w:val="center"/>
          </w:tcPr>
          <w:p>
            <w:pPr>
              <w:pStyle w:val="TableContents"/>
              <w:bidi w:val="0"/>
              <w:spacing w:lineRule="auto" w:line="307" w:before="0" w:after="160"/>
              <w:ind w:left="0" w:right="0" w:hanging="0"/>
              <w:jc w:val="left"/>
              <w:rPr/>
            </w:pPr>
            <w:r>
              <w:rPr/>
              <w:t>​</w:t>
            </w:r>
          </w:p>
        </w:tc>
        <w:tc>
          <w:tcPr>
            <w:tcW w:w="1337" w:type="dxa"/>
            <w:gridSpan w:val="7"/>
            <w:tcBorders/>
            <w:vAlign w:val="center"/>
          </w:tcPr>
          <w:p>
            <w:pPr>
              <w:pStyle w:val="TableContents"/>
              <w:bidi w:val="0"/>
              <w:spacing w:lineRule="auto" w:line="307" w:before="0" w:after="160"/>
              <w:ind w:left="0" w:right="0" w:hanging="0"/>
              <w:jc w:val="left"/>
              <w:rPr/>
            </w:pPr>
            <w:r>
              <w:rPr/>
              <w:t>​</w:t>
            </w:r>
          </w:p>
        </w:tc>
      </w:tr>
    </w:tbl>
    <w:p>
      <w:pPr>
        <w:pStyle w:val="TextBody"/>
        <w:bidi w:val="0"/>
        <w:spacing w:lineRule="auto" w:line="304" w:before="0" w:after="160"/>
        <w:ind w:left="360" w:right="0" w:hanging="0"/>
        <w:jc w:val="both"/>
        <w:rPr/>
      </w:pPr>
      <w:r>
        <w:rPr/>
        <w:t>​</w:t>
      </w:r>
    </w:p>
    <w:p>
      <w:pPr>
        <w:pStyle w:val="TextBody"/>
        <w:bidi w:val="0"/>
        <w:spacing w:lineRule="auto" w:line="304" w:before="0" w:after="160"/>
        <w:ind w:left="360" w:right="0" w:hanging="0"/>
        <w:jc w:val="both"/>
        <w:rPr/>
      </w:pPr>
      <w:r>
        <w:rPr/>
        <w:t>​</w:t>
      </w:r>
    </w:p>
    <w:p>
      <w:pPr>
        <w:pStyle w:val="TextBody"/>
        <w:bidi w:val="0"/>
        <w:spacing w:lineRule="auto" w:line="304" w:before="0" w:after="160"/>
        <w:ind w:left="360" w:right="0" w:hanging="0"/>
        <w:jc w:val="both"/>
        <w:rPr/>
      </w:pPr>
      <w:r>
        <w:rPr/>
        <w:t>​</w:t>
      </w:r>
    </w:p>
    <w:p>
      <w:pPr>
        <w:pStyle w:val="TextBody"/>
        <w:bidi w:val="0"/>
        <w:spacing w:lineRule="auto" w:line="304" w:before="0" w:after="160"/>
        <w:ind w:left="360" w:right="0" w:hanging="0"/>
        <w:jc w:val="both"/>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07" w:before="0" w:after="160"/>
        <w:ind w:left="2681" w:right="2929" w:hanging="0"/>
        <w:jc w:val="center"/>
        <w:rPr>
          <w:rFonts w:ascii="Helvetica;sans-serif" w:hAnsi="Helvetica;sans-serif"/>
          <w:sz w:val="20"/>
        </w:rPr>
      </w:pPr>
      <w:bookmarkStart w:id="41" w:name="_Hlk196317790"/>
      <w:bookmarkEnd w:id="41"/>
      <w:r>
        <w:rPr>
          <w:rFonts w:ascii="Arial;Helvetica;sans-serif" w:hAnsi="Arial;Helvetica;sans-serif"/>
          <w:b/>
          <w:sz w:val="20"/>
        </w:rPr>
        <w:t>PTC Therapeutics, Inc.</w:t>
        <w:br/>
        <w:t>Summary Consolidated Balance Sheets</w:t>
        <w:br/>
      </w:r>
      <w:r>
        <w:rPr>
          <w:rFonts w:ascii="Arial;Helvetica;sans-serif" w:hAnsi="Arial;Helvetica;sans-serif"/>
          <w:sz w:val="20"/>
        </w:rPr>
        <w:t>(in thousands, except share data)</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30"/>
        <w:gridCol w:w="105"/>
        <w:gridCol w:w="173"/>
        <w:gridCol w:w="253"/>
        <w:gridCol w:w="503"/>
        <w:gridCol w:w="228"/>
        <w:gridCol w:w="76"/>
        <w:gridCol w:w="33"/>
        <w:gridCol w:w="795"/>
        <w:gridCol w:w="130"/>
        <w:gridCol w:w="879"/>
      </w:tblGrid>
      <w:tr>
        <w:trPr/>
        <w:tc>
          <w:tcPr>
            <w:tcW w:w="7135" w:type="dxa"/>
            <w:gridSpan w:val="2"/>
            <w:tcBorders/>
            <w:vAlign w:val="center"/>
          </w:tcPr>
          <w:p>
            <w:pPr>
              <w:pStyle w:val="TableContents"/>
              <w:bidi w:val="0"/>
              <w:spacing w:lineRule="auto" w:line="307" w:before="0" w:after="160"/>
              <w:ind w:left="0" w:right="0" w:hanging="0"/>
              <w:jc w:val="left"/>
              <w:rPr/>
            </w:pPr>
            <w:r>
              <w:rPr/>
              <w:t>​</w:t>
            </w:r>
          </w:p>
        </w:tc>
        <w:tc>
          <w:tcPr>
            <w:tcW w:w="426" w:type="dxa"/>
            <w:gridSpan w:val="2"/>
            <w:tcBorders/>
            <w:vAlign w:val="center"/>
          </w:tcPr>
          <w:p>
            <w:pPr>
              <w:pStyle w:val="TableContents"/>
              <w:bidi w:val="0"/>
              <w:spacing w:lineRule="auto" w:line="307" w:before="0" w:after="160"/>
              <w:ind w:left="0" w:right="0" w:hanging="0"/>
              <w:jc w:val="left"/>
              <w:rPr/>
            </w:pPr>
            <w:r>
              <w:rPr/>
              <w:t>​</w:t>
            </w:r>
          </w:p>
        </w:tc>
        <w:tc>
          <w:tcPr>
            <w:tcW w:w="503" w:type="dxa"/>
            <w:tcBorders/>
            <w:vAlign w:val="center"/>
          </w:tcPr>
          <w:p>
            <w:pPr>
              <w:pStyle w:val="TableContents"/>
              <w:bidi w:val="0"/>
              <w:spacing w:lineRule="auto" w:line="307" w:before="0" w:after="160"/>
              <w:ind w:left="0" w:right="0" w:hanging="0"/>
              <w:jc w:val="left"/>
              <w:rPr/>
            </w:pPr>
            <w:r>
              <w:rPr/>
              <w:t>​</w:t>
            </w:r>
          </w:p>
        </w:tc>
        <w:tc>
          <w:tcPr>
            <w:tcW w:w="304" w:type="dxa"/>
            <w:gridSpan w:val="2"/>
            <w:tcBorders/>
            <w:vAlign w:val="center"/>
          </w:tcPr>
          <w:p>
            <w:pPr>
              <w:pStyle w:val="TableContents"/>
              <w:bidi w:val="0"/>
              <w:spacing w:lineRule="auto" w:line="307" w:before="0" w:after="160"/>
              <w:ind w:left="0" w:right="0" w:hanging="0"/>
              <w:jc w:val="left"/>
              <w:rPr/>
            </w:pPr>
            <w:r>
              <w:rPr/>
              <w:t>​</w:t>
            </w:r>
          </w:p>
        </w:tc>
        <w:tc>
          <w:tcPr>
            <w:tcW w:w="958" w:type="dxa"/>
            <w:gridSpan w:val="3"/>
            <w:tcBorders/>
            <w:vAlign w:val="center"/>
          </w:tcPr>
          <w:p>
            <w:pPr>
              <w:pStyle w:val="TableContents"/>
              <w:bidi w:val="0"/>
              <w:spacing w:lineRule="auto" w:line="307" w:before="0" w:after="160"/>
              <w:ind w:left="0" w:right="0" w:hanging="0"/>
              <w:jc w:val="left"/>
              <w:rPr/>
            </w:pPr>
            <w:r>
              <w:rPr/>
              <w:t>​</w:t>
            </w:r>
          </w:p>
        </w:tc>
        <w:tc>
          <w:tcPr>
            <w:tcW w:w="879" w:type="dxa"/>
            <w:tcBorders/>
            <w:vAlign w:val="center"/>
          </w:tcPr>
          <w:p>
            <w:pPr>
              <w:pStyle w:val="TableContents"/>
              <w:bidi w:val="0"/>
              <w:spacing w:lineRule="auto" w:line="307" w:before="0" w:after="160"/>
              <w:ind w:left="0" w:right="0" w:hanging="0"/>
              <w:jc w:val="left"/>
              <w:rPr/>
            </w:pPr>
            <w:r>
              <w:rPr/>
              <w:t>​</w:t>
            </w:r>
          </w:p>
        </w:tc>
      </w:tr>
      <w:tr>
        <w:trPr/>
        <w:tc>
          <w:tcPr>
            <w:tcW w:w="7030" w:type="dxa"/>
            <w:tcBorders/>
            <w:vAlign w:val="center"/>
          </w:tcPr>
          <w:p>
            <w:pPr>
              <w:pStyle w:val="TableContents"/>
              <w:bidi w:val="0"/>
              <w:spacing w:lineRule="auto" w:line="307" w:before="0" w:after="160"/>
              <w:ind w:left="0" w:right="0" w:hanging="0"/>
              <w:jc w:val="left"/>
              <w:rPr/>
            </w:pPr>
            <w:r>
              <w:rPr/>
              <w:t>​</w:t>
            </w:r>
          </w:p>
        </w:tc>
        <w:tc>
          <w:tcPr>
            <w:tcW w:w="1262" w:type="dxa"/>
            <w:gridSpan w:val="5"/>
            <w:tcBorders>
              <w:bottom w:val="single" w:sz="12"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b/>
                <w:sz w:val="20"/>
              </w:rPr>
            </w:pPr>
            <w:r>
              <w:rPr>
                <w:rFonts w:ascii="Arial;Helvetica;sans-serif" w:hAnsi="Arial;Helvetica;sans-serif"/>
                <w:b/>
                <w:sz w:val="20"/>
              </w:rPr>
              <w:t>June 30, 2026</w:t>
            </w:r>
          </w:p>
        </w:tc>
        <w:tc>
          <w:tcPr>
            <w:tcW w:w="109" w:type="dxa"/>
            <w:gridSpan w:val="2"/>
            <w:tcBorders/>
            <w:vAlign w:val="center"/>
          </w:tcPr>
          <w:p>
            <w:pPr>
              <w:pStyle w:val="TableContents"/>
              <w:bidi w:val="0"/>
              <w:spacing w:lineRule="auto" w:line="307" w:before="0" w:after="160"/>
              <w:ind w:left="0" w:right="0" w:hanging="0"/>
              <w:jc w:val="left"/>
              <w:rPr/>
            </w:pPr>
            <w:r>
              <w:rPr/>
              <w:t>​</w:t>
            </w:r>
          </w:p>
        </w:tc>
        <w:tc>
          <w:tcPr>
            <w:tcW w:w="1804" w:type="dxa"/>
            <w:gridSpan w:val="3"/>
            <w:tcBorders>
              <w:bottom w:val="single" w:sz="12" w:space="0" w:color="000000"/>
            </w:tcBorders>
            <w:tcMar>
              <w:bottom w:w="28" w:type="dxa"/>
            </w:tcMar>
            <w:vAlign w:val="center"/>
          </w:tcPr>
          <w:p>
            <w:pPr>
              <w:pStyle w:val="TableContents"/>
              <w:bidi w:val="0"/>
              <w:spacing w:lineRule="auto" w:line="307" w:before="0" w:after="1"/>
              <w:ind w:left="0" w:right="0" w:hanging="0"/>
              <w:jc w:val="center"/>
              <w:rPr>
                <w:rFonts w:ascii="Arial;Helvetica;sans-serif" w:hAnsi="Arial;Helvetica;sans-serif"/>
                <w:b/>
                <w:sz w:val="20"/>
              </w:rPr>
            </w:pPr>
            <w:r>
              <w:rPr>
                <w:rFonts w:ascii="Arial;Helvetica;sans-serif" w:hAnsi="Arial;Helvetica;sans-serif"/>
                <w:b/>
                <w:sz w:val="20"/>
              </w:rPr>
              <w:t>December 31, 2025</w:t>
            </w:r>
          </w:p>
        </w:tc>
      </w:tr>
      <w:tr>
        <w:trPr/>
        <w:tc>
          <w:tcPr>
            <w:tcW w:w="7030" w:type="dxa"/>
            <w:tcBorders/>
            <w:vAlign w:val="center"/>
          </w:tcPr>
          <w:p>
            <w:pPr>
              <w:pStyle w:val="TableContents"/>
              <w:bidi w:val="0"/>
              <w:spacing w:lineRule="auto" w:line="307" w:before="0" w:after="1"/>
              <w:ind w:left="0" w:right="0" w:hanging="0"/>
              <w:jc w:val="left"/>
              <w:rPr>
                <w:rFonts w:ascii="Arial;Helvetica;sans-serif" w:hAnsi="Arial;Helvetica;sans-serif"/>
                <w:sz w:val="20"/>
              </w:rPr>
            </w:pPr>
            <w:r>
              <w:rPr>
                <w:rFonts w:ascii="Arial;Helvetica;sans-serif" w:hAnsi="Arial;Helvetica;sans-serif"/>
                <w:sz w:val="20"/>
              </w:rPr>
              <w:t>Cash, cash equivalents and marketable securities</w:t>
            </w:r>
          </w:p>
        </w:tc>
        <w:tc>
          <w:tcPr>
            <w:tcW w:w="278"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20"/>
              </w:rPr>
            </w:pPr>
            <w:r>
              <w:rPr>
                <w:rFonts w:ascii="Arial;Helvetica;sans-serif" w:hAnsi="Arial;Helvetica;sans-serif"/>
                <w:sz w:val="20"/>
              </w:rPr>
              <w:t>2,229,082</w:t>
            </w:r>
          </w:p>
        </w:tc>
        <w:tc>
          <w:tcPr>
            <w:tcW w:w="109" w:type="dxa"/>
            <w:gridSpan w:val="2"/>
            <w:tcBorders/>
            <w:vAlign w:val="center"/>
          </w:tcPr>
          <w:p>
            <w:pPr>
              <w:pStyle w:val="TableContents"/>
              <w:bidi w:val="0"/>
              <w:spacing w:lineRule="auto" w:line="307" w:before="0" w:after="16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9"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20"/>
              </w:rPr>
            </w:pPr>
            <w:r>
              <w:rPr>
                <w:rFonts w:ascii="Arial;Helvetica;sans-serif" w:hAnsi="Arial;Helvetica;sans-serif"/>
                <w:sz w:val="20"/>
              </w:rPr>
              <w:t>1,945,371</w:t>
            </w:r>
          </w:p>
        </w:tc>
      </w:tr>
      <w:tr>
        <w:trPr/>
        <w:tc>
          <w:tcPr>
            <w:tcW w:w="7030" w:type="dxa"/>
            <w:tcBorders/>
            <w:vAlign w:val="center"/>
          </w:tcPr>
          <w:p>
            <w:pPr>
              <w:pStyle w:val="TableContents"/>
              <w:bidi w:val="0"/>
              <w:spacing w:lineRule="auto" w:line="307" w:before="0" w:after="1"/>
              <w:ind w:left="0" w:right="0" w:hanging="0"/>
              <w:jc w:val="left"/>
              <w:rPr>
                <w:rFonts w:ascii="Arial;Helvetica;sans-serif" w:hAnsi="Arial;Helvetica;sans-serif"/>
                <w:b/>
                <w:sz w:val="20"/>
              </w:rPr>
            </w:pPr>
            <w:r>
              <w:rPr>
                <w:rFonts w:ascii="Arial;Helvetica;sans-serif" w:hAnsi="Arial;Helvetica;sans-serif"/>
                <w:b/>
                <w:sz w:val="20"/>
              </w:rPr>
              <w:t>Total Assets</w:t>
            </w:r>
          </w:p>
        </w:tc>
        <w:tc>
          <w:tcPr>
            <w:tcW w:w="278"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984" w:type="dxa"/>
            <w:gridSpan w:val="3"/>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b/>
                <w:sz w:val="20"/>
              </w:rPr>
            </w:pPr>
            <w:r>
              <w:rPr>
                <w:rFonts w:ascii="Arial;Helvetica;sans-serif" w:hAnsi="Arial;Helvetica;sans-serif"/>
                <w:b/>
                <w:sz w:val="20"/>
              </w:rPr>
              <w:t>3,250,477</w:t>
            </w:r>
          </w:p>
        </w:tc>
        <w:tc>
          <w:tcPr>
            <w:tcW w:w="109" w:type="dxa"/>
            <w:gridSpan w:val="2"/>
            <w:tcBorders/>
            <w:vAlign w:val="center"/>
          </w:tcPr>
          <w:p>
            <w:pPr>
              <w:pStyle w:val="TableContents"/>
              <w:bidi w:val="0"/>
              <w:spacing w:lineRule="auto" w:line="307" w:before="0" w:after="160"/>
              <w:ind w:left="0" w:right="0" w:hanging="0"/>
              <w:jc w:val="left"/>
              <w:rPr/>
            </w:pPr>
            <w:r>
              <w:rPr/>
              <w:t>​</w:t>
            </w:r>
          </w:p>
        </w:tc>
        <w:tc>
          <w:tcPr>
            <w:tcW w:w="795"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1009"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b/>
                <w:sz w:val="20"/>
              </w:rPr>
            </w:pPr>
            <w:r>
              <w:rPr>
                <w:rFonts w:ascii="Arial;Helvetica;sans-serif" w:hAnsi="Arial;Helvetica;sans-serif"/>
                <w:b/>
                <w:sz w:val="20"/>
              </w:rPr>
              <w:t>2,898,767</w:t>
            </w:r>
          </w:p>
        </w:tc>
      </w:tr>
      <w:tr>
        <w:trPr/>
        <w:tc>
          <w:tcPr>
            <w:tcW w:w="7030" w:type="dxa"/>
            <w:tcBorders/>
            <w:vAlign w:val="center"/>
          </w:tcPr>
          <w:p>
            <w:pPr>
              <w:pStyle w:val="TableContents"/>
              <w:bidi w:val="0"/>
              <w:spacing w:lineRule="auto" w:line="307" w:before="0" w:after="160"/>
              <w:ind w:left="0" w:right="0" w:hanging="0"/>
              <w:jc w:val="left"/>
              <w:rPr/>
            </w:pPr>
            <w:r>
              <w:rPr/>
              <w:t>​</w:t>
            </w:r>
          </w:p>
        </w:tc>
        <w:tc>
          <w:tcPr>
            <w:tcW w:w="278" w:type="dxa"/>
            <w:gridSpan w:val="2"/>
            <w:tcBorders/>
            <w:vAlign w:val="center"/>
          </w:tcPr>
          <w:p>
            <w:pPr>
              <w:pStyle w:val="TableContents"/>
              <w:bidi w:val="0"/>
              <w:spacing w:lineRule="auto" w:line="307" w:before="0" w:after="160"/>
              <w:ind w:left="0" w:right="0" w:hanging="0"/>
              <w:jc w:val="left"/>
              <w:rPr/>
            </w:pPr>
            <w:r>
              <w:rPr/>
              <w:t>​</w:t>
            </w:r>
          </w:p>
        </w:tc>
        <w:tc>
          <w:tcPr>
            <w:tcW w:w="984" w:type="dxa"/>
            <w:gridSpan w:val="3"/>
            <w:tcBorders/>
            <w:vAlign w:val="center"/>
          </w:tcPr>
          <w:p>
            <w:pPr>
              <w:pStyle w:val="TableContents"/>
              <w:bidi w:val="0"/>
              <w:spacing w:lineRule="auto" w:line="307" w:before="0" w:after="160"/>
              <w:ind w:left="0" w:right="0" w:hanging="0"/>
              <w:jc w:val="left"/>
              <w:rPr/>
            </w:pPr>
            <w:r>
              <w:rPr/>
              <w:t>​</w:t>
            </w:r>
          </w:p>
        </w:tc>
        <w:tc>
          <w:tcPr>
            <w:tcW w:w="109" w:type="dxa"/>
            <w:gridSpan w:val="2"/>
            <w:tcBorders/>
            <w:vAlign w:val="center"/>
          </w:tcPr>
          <w:p>
            <w:pPr>
              <w:pStyle w:val="TableContents"/>
              <w:bidi w:val="0"/>
              <w:spacing w:lineRule="auto" w:line="307" w:before="0" w:after="160"/>
              <w:ind w:left="0" w:right="0" w:hanging="0"/>
              <w:jc w:val="left"/>
              <w:rPr/>
            </w:pPr>
            <w:r>
              <w:rPr/>
              <w:t>​</w:t>
            </w:r>
          </w:p>
        </w:tc>
        <w:tc>
          <w:tcPr>
            <w:tcW w:w="795" w:type="dxa"/>
            <w:tcBorders/>
            <w:vAlign w:val="center"/>
          </w:tcPr>
          <w:p>
            <w:pPr>
              <w:pStyle w:val="TableContents"/>
              <w:bidi w:val="0"/>
              <w:spacing w:lineRule="auto" w:line="307" w:before="0" w:after="160"/>
              <w:ind w:left="0" w:right="0" w:hanging="0"/>
              <w:jc w:val="left"/>
              <w:rPr/>
            </w:pPr>
            <w:r>
              <w:rPr/>
              <w:t>​</w:t>
            </w:r>
          </w:p>
        </w:tc>
        <w:tc>
          <w:tcPr>
            <w:tcW w:w="1009" w:type="dxa"/>
            <w:gridSpan w:val="2"/>
            <w:tcBorders/>
            <w:vAlign w:val="center"/>
          </w:tcPr>
          <w:p>
            <w:pPr>
              <w:pStyle w:val="TableContents"/>
              <w:bidi w:val="0"/>
              <w:spacing w:lineRule="auto" w:line="307" w:before="0" w:after="160"/>
              <w:ind w:left="0" w:right="0" w:hanging="0"/>
              <w:jc w:val="left"/>
              <w:rPr/>
            </w:pPr>
            <w:r>
              <w:rPr/>
              <w:t>​</w:t>
            </w:r>
          </w:p>
        </w:tc>
      </w:tr>
      <w:tr>
        <w:trPr/>
        <w:tc>
          <w:tcPr>
            <w:tcW w:w="7030" w:type="dxa"/>
            <w:tcBorders/>
            <w:vAlign w:val="center"/>
          </w:tcPr>
          <w:p>
            <w:pPr>
              <w:pStyle w:val="TableContents"/>
              <w:bidi w:val="0"/>
              <w:spacing w:lineRule="auto" w:line="307" w:before="0" w:after="1"/>
              <w:ind w:left="0" w:right="0" w:hanging="0"/>
              <w:jc w:val="left"/>
              <w:rPr>
                <w:rFonts w:ascii="Arial;Helvetica;sans-serif" w:hAnsi="Arial;Helvetica;sans-serif"/>
                <w:sz w:val="20"/>
              </w:rPr>
            </w:pPr>
            <w:r>
              <w:rPr>
                <w:rFonts w:ascii="Arial;Helvetica;sans-serif" w:hAnsi="Arial;Helvetica;sans-serif"/>
                <w:sz w:val="20"/>
              </w:rPr>
              <w:t>Total debt</w:t>
            </w:r>
          </w:p>
        </w:tc>
        <w:tc>
          <w:tcPr>
            <w:tcW w:w="278" w:type="dxa"/>
            <w:gridSpan w:val="2"/>
            <w:tcBorders/>
            <w:vAlign w:val="center"/>
          </w:tcPr>
          <w:p>
            <w:pPr>
              <w:pStyle w:val="TableContents"/>
              <w:bidi w:val="0"/>
              <w:spacing w:lineRule="auto" w:line="307"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20"/>
              </w:rPr>
            </w:pPr>
            <w:r>
              <w:rPr>
                <w:rFonts w:ascii="Arial;Helvetica;sans-serif" w:hAnsi="Arial;Helvetica;sans-serif"/>
                <w:sz w:val="20"/>
              </w:rPr>
              <w:t>590,970</w:t>
            </w:r>
          </w:p>
        </w:tc>
        <w:tc>
          <w:tcPr>
            <w:tcW w:w="109" w:type="dxa"/>
            <w:gridSpan w:val="2"/>
            <w:tcBorders/>
            <w:vAlign w:val="center"/>
          </w:tcPr>
          <w:p>
            <w:pPr>
              <w:pStyle w:val="TableContents"/>
              <w:bidi w:val="0"/>
              <w:spacing w:lineRule="auto" w:line="307" w:before="0" w:after="160"/>
              <w:ind w:left="0" w:right="0" w:hanging="0"/>
              <w:jc w:val="left"/>
              <w:rPr/>
            </w:pPr>
            <w:r>
              <w:rPr/>
              <w:t>​</w:t>
            </w:r>
          </w:p>
        </w:tc>
        <w:tc>
          <w:tcPr>
            <w:tcW w:w="795" w:type="dxa"/>
            <w:tcBorders/>
            <w:vAlign w:val="center"/>
          </w:tcPr>
          <w:p>
            <w:pPr>
              <w:pStyle w:val="TableContents"/>
              <w:bidi w:val="0"/>
              <w:spacing w:lineRule="auto" w:line="307"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9" w:type="dxa"/>
            <w:gridSpan w:val="2"/>
            <w:tcBorders/>
            <w:vAlign w:val="center"/>
          </w:tcPr>
          <w:p>
            <w:pPr>
              <w:pStyle w:val="TableContents"/>
              <w:bidi w:val="0"/>
              <w:spacing w:lineRule="auto" w:line="307" w:before="0" w:after="1"/>
              <w:ind w:left="0" w:right="0" w:hanging="0"/>
              <w:jc w:val="right"/>
              <w:rPr>
                <w:rFonts w:ascii="Arial;Helvetica;sans-serif" w:hAnsi="Arial;Helvetica;sans-serif"/>
                <w:sz w:val="20"/>
              </w:rPr>
            </w:pPr>
            <w:r>
              <w:rPr>
                <w:rFonts w:ascii="Arial;Helvetica;sans-serif" w:hAnsi="Arial;Helvetica;sans-serif"/>
                <w:sz w:val="20"/>
              </w:rPr>
              <w:t>286,631</w:t>
            </w:r>
          </w:p>
        </w:tc>
      </w:tr>
      <w:tr>
        <w:trPr/>
        <w:tc>
          <w:tcPr>
            <w:tcW w:w="7030" w:type="dxa"/>
            <w:tcBorders/>
            <w:vAlign w:val="center"/>
          </w:tcPr>
          <w:p>
            <w:pPr>
              <w:pStyle w:val="TableContents"/>
              <w:bidi w:val="0"/>
              <w:spacing w:lineRule="auto" w:line="307" w:before="0" w:after="1"/>
              <w:ind w:left="0" w:right="0" w:hanging="0"/>
              <w:jc w:val="left"/>
              <w:rPr>
                <w:rFonts w:ascii="Arial;Helvetica;sans-serif" w:hAnsi="Arial;Helvetica;sans-serif"/>
                <w:sz w:val="20"/>
              </w:rPr>
            </w:pPr>
            <w:r>
              <w:rPr>
                <w:rFonts w:ascii="Arial;Helvetica;sans-serif" w:hAnsi="Arial;Helvetica;sans-serif"/>
                <w:sz w:val="20"/>
              </w:rPr>
              <w:t>Total deferred revenue</w:t>
            </w:r>
          </w:p>
        </w:tc>
        <w:tc>
          <w:tcPr>
            <w:tcW w:w="278" w:type="dxa"/>
            <w:gridSpan w:val="2"/>
            <w:tcBorders/>
            <w:vAlign w:val="center"/>
          </w:tcPr>
          <w:p>
            <w:pPr>
              <w:pStyle w:val="TableContents"/>
              <w:bidi w:val="0"/>
              <w:spacing w:lineRule="auto" w:line="307" w:before="0" w:after="160"/>
              <w:ind w:left="0" w:right="0" w:hanging="0"/>
              <w:jc w:val="left"/>
              <w:rPr/>
            </w:pPr>
            <w:r>
              <w:rPr/>
              <w:t>​</w:t>
            </w:r>
          </w:p>
        </w:tc>
        <w:tc>
          <w:tcPr>
            <w:tcW w:w="984" w:type="dxa"/>
            <w:gridSpan w:val="3"/>
            <w:tcBorders/>
            <w:vAlign w:val="center"/>
          </w:tcPr>
          <w:p>
            <w:pPr>
              <w:pStyle w:val="TableContents"/>
              <w:bidi w:val="0"/>
              <w:spacing w:lineRule="auto" w:line="307" w:before="0" w:after="1"/>
              <w:ind w:left="0" w:right="0" w:hanging="0"/>
              <w:jc w:val="right"/>
              <w:rPr>
                <w:rFonts w:ascii="Arial;Helvetica;sans-serif" w:hAnsi="Arial;Helvetica;sans-serif"/>
                <w:sz w:val="20"/>
              </w:rPr>
            </w:pPr>
            <w:r>
              <w:rPr>
                <w:rFonts w:ascii="Arial;Helvetica;sans-serif" w:hAnsi="Arial;Helvetica;sans-serif"/>
                <w:sz w:val="20"/>
              </w:rPr>
              <w:t>1,192</w:t>
            </w:r>
          </w:p>
        </w:tc>
        <w:tc>
          <w:tcPr>
            <w:tcW w:w="109" w:type="dxa"/>
            <w:gridSpan w:val="2"/>
            <w:tcBorders/>
            <w:vAlign w:val="center"/>
          </w:tcPr>
          <w:p>
            <w:pPr>
              <w:pStyle w:val="TableContents"/>
              <w:bidi w:val="0"/>
              <w:spacing w:lineRule="auto" w:line="307" w:before="0" w:after="160"/>
              <w:ind w:left="0" w:right="0" w:hanging="0"/>
              <w:jc w:val="left"/>
              <w:rPr/>
            </w:pPr>
            <w:r>
              <w:rPr/>
              <w:t>​</w:t>
            </w:r>
          </w:p>
        </w:tc>
        <w:tc>
          <w:tcPr>
            <w:tcW w:w="795" w:type="dxa"/>
            <w:tcBorders/>
            <w:vAlign w:val="center"/>
          </w:tcPr>
          <w:p>
            <w:pPr>
              <w:pStyle w:val="TableContents"/>
              <w:bidi w:val="0"/>
              <w:spacing w:lineRule="auto" w:line="307" w:before="0" w:after="160"/>
              <w:ind w:left="0" w:right="0" w:hanging="0"/>
              <w:jc w:val="left"/>
              <w:rPr/>
            </w:pPr>
            <w:r>
              <w:rPr/>
              <w:t>​</w:t>
            </w:r>
          </w:p>
        </w:tc>
        <w:tc>
          <w:tcPr>
            <w:tcW w:w="1009" w:type="dxa"/>
            <w:gridSpan w:val="2"/>
            <w:tcBorders/>
            <w:vAlign w:val="center"/>
          </w:tcPr>
          <w:p>
            <w:pPr>
              <w:pStyle w:val="TableContents"/>
              <w:bidi w:val="0"/>
              <w:spacing w:lineRule="auto" w:line="307" w:before="0" w:after="1"/>
              <w:ind w:left="0" w:right="0" w:hanging="0"/>
              <w:jc w:val="right"/>
              <w:rPr>
                <w:rFonts w:ascii="Arial;Helvetica;sans-serif" w:hAnsi="Arial;Helvetica;sans-serif"/>
                <w:sz w:val="20"/>
              </w:rPr>
            </w:pPr>
            <w:r>
              <w:rPr>
                <w:rFonts w:ascii="Arial;Helvetica;sans-serif" w:hAnsi="Arial;Helvetica;sans-serif"/>
                <w:sz w:val="20"/>
              </w:rPr>
              <w:t>2,040</w:t>
            </w:r>
          </w:p>
        </w:tc>
      </w:tr>
      <w:tr>
        <w:trPr/>
        <w:tc>
          <w:tcPr>
            <w:tcW w:w="7030" w:type="dxa"/>
            <w:tcBorders/>
            <w:vAlign w:val="center"/>
          </w:tcPr>
          <w:p>
            <w:pPr>
              <w:pStyle w:val="TableContents"/>
              <w:bidi w:val="0"/>
              <w:spacing w:lineRule="auto" w:line="307" w:before="0" w:after="1"/>
              <w:ind w:left="0" w:right="0" w:hanging="0"/>
              <w:jc w:val="left"/>
              <w:rPr>
                <w:rFonts w:ascii="Arial;Helvetica;sans-serif" w:hAnsi="Arial;Helvetica;sans-serif"/>
                <w:sz w:val="20"/>
              </w:rPr>
            </w:pPr>
            <w:r>
              <w:rPr>
                <w:rFonts w:ascii="Arial;Helvetica;sans-serif" w:hAnsi="Arial;Helvetica;sans-serif"/>
                <w:sz w:val="20"/>
              </w:rPr>
              <w:t>Total liability for sale of future royalties</w:t>
            </w:r>
          </w:p>
        </w:tc>
        <w:tc>
          <w:tcPr>
            <w:tcW w:w="278" w:type="dxa"/>
            <w:gridSpan w:val="2"/>
            <w:tcBorders>
              <w:bottom w:val="single" w:sz="2" w:space="0" w:color="000000"/>
            </w:tcBorders>
            <w:tcMar>
              <w:bottom w:w="28" w:type="dxa"/>
            </w:tcMar>
            <w:vAlign w:val="center"/>
          </w:tcPr>
          <w:p>
            <w:pPr>
              <w:pStyle w:val="TableContents"/>
              <w:bidi w:val="0"/>
              <w:spacing w:lineRule="auto" w:line="307" w:before="0" w:after="160"/>
              <w:ind w:left="0" w:right="0" w:hanging="0"/>
              <w:jc w:val="right"/>
              <w:rPr/>
            </w:pPr>
            <w:r>
              <w:rPr/>
              <w:t>​</w:t>
            </w:r>
          </w:p>
        </w:tc>
        <w:tc>
          <w:tcPr>
            <w:tcW w:w="984"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20"/>
              </w:rPr>
            </w:pPr>
            <w:r>
              <w:rPr>
                <w:rFonts w:ascii="Arial;Helvetica;sans-serif" w:hAnsi="Arial;Helvetica;sans-serif"/>
                <w:sz w:val="20"/>
              </w:rPr>
              <w:t>2,321,434</w:t>
            </w:r>
          </w:p>
        </w:tc>
        <w:tc>
          <w:tcPr>
            <w:tcW w:w="109" w:type="dxa"/>
            <w:gridSpan w:val="2"/>
            <w:tcBorders/>
            <w:vAlign w:val="center"/>
          </w:tcPr>
          <w:p>
            <w:pPr>
              <w:pStyle w:val="TableContents"/>
              <w:bidi w:val="0"/>
              <w:spacing w:lineRule="auto" w:line="307" w:before="0" w:after="16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lineRule="auto" w:line="307" w:before="0" w:after="160"/>
              <w:ind w:left="0" w:right="0" w:hanging="0"/>
              <w:jc w:val="right"/>
              <w:rPr/>
            </w:pPr>
            <w:r>
              <w:rPr/>
              <w:t>​</w:t>
            </w:r>
          </w:p>
        </w:tc>
        <w:tc>
          <w:tcPr>
            <w:tcW w:w="1009"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20"/>
              </w:rPr>
            </w:pPr>
            <w:r>
              <w:rPr>
                <w:rFonts w:ascii="Arial;Helvetica;sans-serif" w:hAnsi="Arial;Helvetica;sans-serif"/>
                <w:sz w:val="20"/>
              </w:rPr>
              <w:t>2,308,366</w:t>
            </w:r>
          </w:p>
        </w:tc>
      </w:tr>
      <w:tr>
        <w:trPr/>
        <w:tc>
          <w:tcPr>
            <w:tcW w:w="7030" w:type="dxa"/>
            <w:tcBorders/>
            <w:vAlign w:val="center"/>
          </w:tcPr>
          <w:p>
            <w:pPr>
              <w:pStyle w:val="TableContents"/>
              <w:bidi w:val="0"/>
              <w:spacing w:lineRule="auto" w:line="307" w:before="0" w:after="1"/>
              <w:ind w:left="0" w:right="0" w:hanging="0"/>
              <w:jc w:val="left"/>
              <w:rPr>
                <w:rFonts w:ascii="Arial;Helvetica;sans-serif" w:hAnsi="Arial;Helvetica;sans-serif"/>
                <w:b/>
                <w:sz w:val="20"/>
              </w:rPr>
            </w:pPr>
            <w:r>
              <w:rPr>
                <w:rFonts w:ascii="Arial;Helvetica;sans-serif" w:hAnsi="Arial;Helvetica;sans-serif"/>
                <w:b/>
                <w:sz w:val="20"/>
              </w:rPr>
              <w:t>Total liabilities</w:t>
            </w:r>
          </w:p>
        </w:tc>
        <w:tc>
          <w:tcPr>
            <w:tcW w:w="278"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984" w:type="dxa"/>
            <w:gridSpan w:val="3"/>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b/>
                <w:sz w:val="20"/>
              </w:rPr>
            </w:pPr>
            <w:r>
              <w:rPr>
                <w:rFonts w:ascii="Arial;Helvetica;sans-serif" w:hAnsi="Arial;Helvetica;sans-serif"/>
                <w:b/>
                <w:sz w:val="20"/>
              </w:rPr>
              <w:t>3,415,840</w:t>
            </w:r>
          </w:p>
        </w:tc>
        <w:tc>
          <w:tcPr>
            <w:tcW w:w="109" w:type="dxa"/>
            <w:gridSpan w:val="2"/>
            <w:tcBorders/>
            <w:vAlign w:val="center"/>
          </w:tcPr>
          <w:p>
            <w:pPr>
              <w:pStyle w:val="TableContents"/>
              <w:bidi w:val="0"/>
              <w:spacing w:lineRule="auto" w:line="307" w:before="0" w:after="160"/>
              <w:ind w:left="0" w:right="0" w:hanging="0"/>
              <w:jc w:val="left"/>
              <w:rPr/>
            </w:pPr>
            <w:r>
              <w:rPr/>
              <w:t>​</w:t>
            </w:r>
          </w:p>
        </w:tc>
        <w:tc>
          <w:tcPr>
            <w:tcW w:w="795"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1009"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b/>
                <w:sz w:val="20"/>
              </w:rPr>
            </w:pPr>
            <w:r>
              <w:rPr>
                <w:rFonts w:ascii="Arial;Helvetica;sans-serif" w:hAnsi="Arial;Helvetica;sans-serif"/>
                <w:b/>
                <w:sz w:val="20"/>
              </w:rPr>
              <w:t>3,104,080</w:t>
            </w:r>
          </w:p>
        </w:tc>
      </w:tr>
      <w:tr>
        <w:trPr/>
        <w:tc>
          <w:tcPr>
            <w:tcW w:w="7030" w:type="dxa"/>
            <w:tcBorders/>
            <w:vAlign w:val="center"/>
          </w:tcPr>
          <w:p>
            <w:pPr>
              <w:pStyle w:val="TableContents"/>
              <w:bidi w:val="0"/>
              <w:spacing w:lineRule="auto" w:line="307" w:before="0" w:after="160"/>
              <w:ind w:left="0" w:right="0" w:hanging="0"/>
              <w:jc w:val="left"/>
              <w:rPr/>
            </w:pPr>
            <w:r>
              <w:rPr/>
              <w:t>​</w:t>
            </w:r>
          </w:p>
        </w:tc>
        <w:tc>
          <w:tcPr>
            <w:tcW w:w="278" w:type="dxa"/>
            <w:gridSpan w:val="2"/>
            <w:tcBorders/>
            <w:vAlign w:val="center"/>
          </w:tcPr>
          <w:p>
            <w:pPr>
              <w:pStyle w:val="TableContents"/>
              <w:bidi w:val="0"/>
              <w:spacing w:lineRule="auto" w:line="307" w:before="0" w:after="160"/>
              <w:ind w:left="0" w:right="0" w:hanging="0"/>
              <w:jc w:val="left"/>
              <w:rPr/>
            </w:pPr>
            <w:r>
              <w:rPr/>
              <w:t>​</w:t>
            </w:r>
          </w:p>
        </w:tc>
        <w:tc>
          <w:tcPr>
            <w:tcW w:w="984" w:type="dxa"/>
            <w:gridSpan w:val="3"/>
            <w:tcBorders/>
            <w:vAlign w:val="center"/>
          </w:tcPr>
          <w:p>
            <w:pPr>
              <w:pStyle w:val="TableContents"/>
              <w:bidi w:val="0"/>
              <w:spacing w:lineRule="auto" w:line="307" w:before="0" w:after="160"/>
              <w:ind w:left="0" w:right="0" w:hanging="0"/>
              <w:jc w:val="left"/>
              <w:rPr/>
            </w:pPr>
            <w:r>
              <w:rPr/>
              <w:t>​</w:t>
            </w:r>
          </w:p>
        </w:tc>
        <w:tc>
          <w:tcPr>
            <w:tcW w:w="109" w:type="dxa"/>
            <w:gridSpan w:val="2"/>
            <w:tcBorders/>
            <w:vAlign w:val="center"/>
          </w:tcPr>
          <w:p>
            <w:pPr>
              <w:pStyle w:val="TableContents"/>
              <w:bidi w:val="0"/>
              <w:spacing w:lineRule="auto" w:line="307" w:before="0" w:after="160"/>
              <w:ind w:left="0" w:right="0" w:hanging="0"/>
              <w:jc w:val="left"/>
              <w:rPr/>
            </w:pPr>
            <w:r>
              <w:rPr/>
              <w:t>​</w:t>
            </w:r>
          </w:p>
        </w:tc>
        <w:tc>
          <w:tcPr>
            <w:tcW w:w="795" w:type="dxa"/>
            <w:tcBorders/>
            <w:vAlign w:val="center"/>
          </w:tcPr>
          <w:p>
            <w:pPr>
              <w:pStyle w:val="TableContents"/>
              <w:bidi w:val="0"/>
              <w:spacing w:lineRule="auto" w:line="307" w:before="0" w:after="160"/>
              <w:ind w:left="0" w:right="0" w:hanging="0"/>
              <w:jc w:val="left"/>
              <w:rPr/>
            </w:pPr>
            <w:r>
              <w:rPr/>
              <w:t>​</w:t>
            </w:r>
          </w:p>
        </w:tc>
        <w:tc>
          <w:tcPr>
            <w:tcW w:w="1009" w:type="dxa"/>
            <w:gridSpan w:val="2"/>
            <w:tcBorders/>
            <w:vAlign w:val="center"/>
          </w:tcPr>
          <w:p>
            <w:pPr>
              <w:pStyle w:val="TableContents"/>
              <w:bidi w:val="0"/>
              <w:spacing w:lineRule="auto" w:line="307" w:before="0" w:after="160"/>
              <w:ind w:left="0" w:right="0" w:hanging="0"/>
              <w:jc w:val="left"/>
              <w:rPr/>
            </w:pPr>
            <w:r>
              <w:rPr/>
              <w:t>​</w:t>
            </w:r>
          </w:p>
        </w:tc>
      </w:tr>
      <w:tr>
        <w:trPr/>
        <w:tc>
          <w:tcPr>
            <w:tcW w:w="7030" w:type="dxa"/>
            <w:tcBorders/>
            <w:vAlign w:val="center"/>
          </w:tcPr>
          <w:p>
            <w:pPr>
              <w:pStyle w:val="TableContents"/>
              <w:bidi w:val="0"/>
              <w:spacing w:lineRule="auto" w:line="307" w:before="0" w:after="1"/>
              <w:ind w:left="0" w:right="0" w:hanging="0"/>
              <w:jc w:val="left"/>
              <w:rPr>
                <w:rFonts w:ascii="Arial;Helvetica;sans-serif" w:hAnsi="Arial;Helvetica;sans-serif"/>
                <w:sz w:val="20"/>
              </w:rPr>
            </w:pPr>
            <w:r>
              <w:rPr>
                <w:rFonts w:ascii="Arial;Helvetica;sans-serif" w:hAnsi="Arial;Helvetica;sans-serif"/>
                <w:sz w:val="20"/>
              </w:rPr>
              <w:t>Total stockholders' deficit (83,327,286 and 81,474,366 common shares issued and outstanding at June 30, 2026, and December 31, 2025, respectively)</w:t>
            </w:r>
          </w:p>
        </w:tc>
        <w:tc>
          <w:tcPr>
            <w:tcW w:w="278"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20"/>
              </w:rPr>
            </w:pPr>
            <w:r>
              <w:rPr>
                <w:rFonts w:ascii="Arial;Helvetica;sans-serif" w:hAnsi="Arial;Helvetica;sans-serif"/>
                <w:sz w:val="20"/>
              </w:rPr>
              <w:t>(165,363)</w:t>
            </w:r>
          </w:p>
        </w:tc>
        <w:tc>
          <w:tcPr>
            <w:tcW w:w="109" w:type="dxa"/>
            <w:gridSpan w:val="2"/>
            <w:tcBorders/>
            <w:vAlign w:val="center"/>
          </w:tcPr>
          <w:p>
            <w:pPr>
              <w:pStyle w:val="TableContents"/>
              <w:bidi w:val="0"/>
              <w:spacing w:lineRule="auto" w:line="307" w:before="0" w:after="16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9"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20"/>
              </w:rPr>
            </w:pPr>
            <w:r>
              <w:rPr>
                <w:rFonts w:ascii="Arial;Helvetica;sans-serif" w:hAnsi="Arial;Helvetica;sans-serif"/>
                <w:sz w:val="20"/>
              </w:rPr>
              <w:t>(205,313)</w:t>
            </w:r>
          </w:p>
        </w:tc>
      </w:tr>
      <w:tr>
        <w:trPr/>
        <w:tc>
          <w:tcPr>
            <w:tcW w:w="7030" w:type="dxa"/>
            <w:tcBorders/>
            <w:vAlign w:val="center"/>
          </w:tcPr>
          <w:p>
            <w:pPr>
              <w:pStyle w:val="TableContents"/>
              <w:bidi w:val="0"/>
              <w:spacing w:lineRule="auto" w:line="307" w:before="0" w:after="1"/>
              <w:ind w:left="0" w:right="0" w:hanging="0"/>
              <w:jc w:val="left"/>
              <w:rPr>
                <w:rFonts w:ascii="Arial;Helvetica;sans-serif" w:hAnsi="Arial;Helvetica;sans-serif"/>
                <w:b/>
                <w:sz w:val="20"/>
              </w:rPr>
            </w:pPr>
            <w:r>
              <w:rPr>
                <w:rFonts w:ascii="Arial;Helvetica;sans-serif" w:hAnsi="Arial;Helvetica;sans-serif"/>
                <w:b/>
                <w:sz w:val="20"/>
              </w:rPr>
              <w:t>Total liabilities and stockholders' deficit</w:t>
            </w:r>
          </w:p>
        </w:tc>
        <w:tc>
          <w:tcPr>
            <w:tcW w:w="278"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984" w:type="dxa"/>
            <w:gridSpan w:val="3"/>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b/>
                <w:sz w:val="20"/>
              </w:rPr>
            </w:pPr>
            <w:r>
              <w:rPr>
                <w:rFonts w:ascii="Arial;Helvetica;sans-serif" w:hAnsi="Arial;Helvetica;sans-serif"/>
                <w:b/>
                <w:sz w:val="20"/>
              </w:rPr>
              <w:t>3,250,477</w:t>
            </w:r>
          </w:p>
        </w:tc>
        <w:tc>
          <w:tcPr>
            <w:tcW w:w="109" w:type="dxa"/>
            <w:gridSpan w:val="2"/>
            <w:tcBorders/>
            <w:vAlign w:val="center"/>
          </w:tcPr>
          <w:p>
            <w:pPr>
              <w:pStyle w:val="TableContents"/>
              <w:bidi w:val="0"/>
              <w:spacing w:lineRule="auto" w:line="307" w:before="0" w:after="160"/>
              <w:ind w:left="0" w:right="0" w:hanging="0"/>
              <w:jc w:val="left"/>
              <w:rPr/>
            </w:pPr>
            <w:r>
              <w:rPr/>
              <w:t>​</w:t>
            </w:r>
          </w:p>
        </w:tc>
        <w:tc>
          <w:tcPr>
            <w:tcW w:w="795"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1009" w:type="dxa"/>
            <w:gridSpan w:val="2"/>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b/>
                <w:sz w:val="20"/>
              </w:rPr>
            </w:pPr>
            <w:r>
              <w:rPr>
                <w:rFonts w:ascii="Arial;Helvetica;sans-serif" w:hAnsi="Arial;Helvetica;sans-serif"/>
                <w:b/>
                <w:sz w:val="20"/>
              </w:rPr>
              <w:t>2,898,767</w:t>
            </w:r>
          </w:p>
        </w:tc>
      </w:tr>
      <w:tr>
        <w:trPr/>
        <w:tc>
          <w:tcPr>
            <w:tcW w:w="7030" w:type="dxa"/>
            <w:tcBorders/>
            <w:vAlign w:val="center"/>
          </w:tcPr>
          <w:p>
            <w:pPr>
              <w:pStyle w:val="TableContents"/>
              <w:bidi w:val="0"/>
              <w:spacing w:lineRule="auto" w:line="307" w:before="0" w:after="160"/>
              <w:ind w:left="0" w:right="0" w:hanging="0"/>
              <w:jc w:val="left"/>
              <w:rPr/>
            </w:pPr>
            <w:r>
              <w:rPr/>
              <w:t>​</w:t>
            </w:r>
          </w:p>
        </w:tc>
        <w:tc>
          <w:tcPr>
            <w:tcW w:w="278" w:type="dxa"/>
            <w:gridSpan w:val="2"/>
            <w:tcBorders/>
            <w:vAlign w:val="center"/>
          </w:tcPr>
          <w:p>
            <w:pPr>
              <w:pStyle w:val="TableContents"/>
              <w:bidi w:val="0"/>
              <w:spacing w:lineRule="auto" w:line="307" w:before="0" w:after="160"/>
              <w:ind w:left="0" w:right="0" w:hanging="0"/>
              <w:jc w:val="left"/>
              <w:rPr/>
            </w:pPr>
            <w:r>
              <w:rPr/>
              <w:t>​</w:t>
            </w:r>
          </w:p>
        </w:tc>
        <w:tc>
          <w:tcPr>
            <w:tcW w:w="984" w:type="dxa"/>
            <w:gridSpan w:val="3"/>
            <w:tcBorders/>
            <w:vAlign w:val="center"/>
          </w:tcPr>
          <w:p>
            <w:pPr>
              <w:pStyle w:val="TableContents"/>
              <w:bidi w:val="0"/>
              <w:spacing w:lineRule="auto" w:line="307" w:before="0" w:after="160"/>
              <w:ind w:left="0" w:right="0" w:hanging="0"/>
              <w:jc w:val="left"/>
              <w:rPr/>
            </w:pPr>
            <w:r>
              <w:rPr/>
              <w:t>​</w:t>
            </w:r>
          </w:p>
        </w:tc>
        <w:tc>
          <w:tcPr>
            <w:tcW w:w="109" w:type="dxa"/>
            <w:gridSpan w:val="2"/>
            <w:tcBorders/>
            <w:vAlign w:val="center"/>
          </w:tcPr>
          <w:p>
            <w:pPr>
              <w:pStyle w:val="TableContents"/>
              <w:bidi w:val="0"/>
              <w:spacing w:lineRule="auto" w:line="307" w:before="0" w:after="160"/>
              <w:ind w:left="0" w:right="0" w:hanging="0"/>
              <w:jc w:val="left"/>
              <w:rPr/>
            </w:pPr>
            <w:r>
              <w:rPr/>
              <w:t>​</w:t>
            </w:r>
          </w:p>
        </w:tc>
        <w:tc>
          <w:tcPr>
            <w:tcW w:w="795" w:type="dxa"/>
            <w:tcBorders/>
            <w:vAlign w:val="center"/>
          </w:tcPr>
          <w:p>
            <w:pPr>
              <w:pStyle w:val="TableContents"/>
              <w:bidi w:val="0"/>
              <w:spacing w:lineRule="auto" w:line="307" w:before="0" w:after="160"/>
              <w:ind w:left="0" w:right="0" w:hanging="0"/>
              <w:jc w:val="left"/>
              <w:rPr/>
            </w:pPr>
            <w:r>
              <w:rPr/>
              <w:t>​</w:t>
            </w:r>
          </w:p>
        </w:tc>
        <w:tc>
          <w:tcPr>
            <w:tcW w:w="1009" w:type="dxa"/>
            <w:gridSpan w:val="2"/>
            <w:tcBorders/>
            <w:vAlign w:val="center"/>
          </w:tcPr>
          <w:p>
            <w:pPr>
              <w:pStyle w:val="TableContents"/>
              <w:bidi w:val="0"/>
              <w:spacing w:lineRule="auto" w:line="307" w:before="0" w:after="160"/>
              <w:ind w:left="0" w:right="0" w:hanging="0"/>
              <w:jc w:val="left"/>
              <w:rPr/>
            </w:pPr>
            <w:r>
              <w:rPr/>
              <w:t>​</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3370" w:right="1060" w:hanging="0"/>
        <w:jc w:val="left"/>
        <w:rPr>
          <w:rFonts w:ascii="Arial;Helvetica;sans-serif" w:hAnsi="Arial;Helvetica;sans-serif"/>
          <w:b/>
          <w:sz w:val="20"/>
        </w:rPr>
      </w:pPr>
      <w:r>
        <w:rPr>
          <w:rFonts w:ascii="Arial;Helvetica;sans-serif" w:hAnsi="Arial;Helvetica;sans-serif"/>
          <w:b/>
          <w:sz w:val="20"/>
        </w:rPr>
        <w:t>PTC Therapeutics, Inc.</w:t>
      </w:r>
    </w:p>
    <w:p>
      <w:pPr>
        <w:pStyle w:val="TextBody"/>
        <w:bidi w:val="0"/>
        <w:spacing w:lineRule="auto" w:line="307" w:before="8" w:after="160"/>
        <w:ind w:left="0" w:right="1063" w:hanging="0"/>
        <w:jc w:val="center"/>
        <w:rPr>
          <w:rFonts w:ascii="Helvetica;sans-serif" w:hAnsi="Helvetica;sans-serif"/>
          <w:sz w:val="20"/>
        </w:rPr>
      </w:pPr>
      <w:r>
        <w:rPr>
          <w:rFonts w:ascii="Arial;Helvetica;sans-serif" w:hAnsi="Arial;Helvetica;sans-serif"/>
          <w:b/>
          <w:sz w:val="20"/>
        </w:rPr>
        <w:t>Reconciliation of GAAP to Non-GAAP Projected Full Year 2026 R&amp;D and SG&amp;A Expense</w:t>
      </w:r>
      <w:r>
        <w:rPr>
          <w:rFonts w:ascii="Arial;Helvetica;sans-serif" w:hAnsi="Arial;Helvetica;sans-serif"/>
          <w:sz w:val="20"/>
        </w:rPr>
        <w:br/>
        <w:t>(in millions)</w:t>
      </w:r>
    </w:p>
    <w:tbl>
      <w:tblPr>
        <w:tblW w:w="9395" w:type="dxa"/>
        <w:jc w:val="left"/>
        <w:tblInd w:w="0" w:type="dxa"/>
        <w:tblLayout w:type="fixed"/>
        <w:tblCellMar>
          <w:top w:w="0" w:type="dxa"/>
          <w:left w:w="0" w:type="dxa"/>
          <w:bottom w:w="0" w:type="dxa"/>
          <w:right w:w="0" w:type="dxa"/>
        </w:tblCellMar>
      </w:tblPr>
      <w:tblGrid>
        <w:gridCol w:w="5566"/>
        <w:gridCol w:w="604"/>
        <w:gridCol w:w="1211"/>
        <w:gridCol w:w="109"/>
        <w:gridCol w:w="593"/>
        <w:gridCol w:w="1312"/>
      </w:tblGrid>
      <w:tr>
        <w:trPr/>
        <w:tc>
          <w:tcPr>
            <w:tcW w:w="5566" w:type="dxa"/>
            <w:tcBorders/>
            <w:vAlign w:val="center"/>
          </w:tcPr>
          <w:p>
            <w:pPr>
              <w:pStyle w:val="TableContents"/>
              <w:bidi w:val="0"/>
              <w:spacing w:lineRule="auto" w:line="307" w:before="0" w:after="160"/>
              <w:ind w:left="0" w:right="0" w:hanging="0"/>
              <w:jc w:val="left"/>
              <w:rPr/>
            </w:pPr>
            <w:r>
              <w:rPr/>
              <w:t>​</w:t>
            </w:r>
          </w:p>
        </w:tc>
        <w:tc>
          <w:tcPr>
            <w:tcW w:w="604" w:type="dxa"/>
            <w:tcBorders/>
            <w:vAlign w:val="center"/>
          </w:tcPr>
          <w:p>
            <w:pPr>
              <w:pStyle w:val="TableContents"/>
              <w:bidi w:val="0"/>
              <w:spacing w:lineRule="auto" w:line="307" w:before="0" w:after="160"/>
              <w:ind w:left="0" w:right="0" w:hanging="0"/>
              <w:jc w:val="left"/>
              <w:rPr/>
            </w:pPr>
            <w:r>
              <w:rPr/>
              <w:t>​</w:t>
            </w:r>
          </w:p>
        </w:tc>
        <w:tc>
          <w:tcPr>
            <w:tcW w:w="1211"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593" w:type="dxa"/>
            <w:tcBorders/>
            <w:vAlign w:val="center"/>
          </w:tcPr>
          <w:p>
            <w:pPr>
              <w:pStyle w:val="TableContents"/>
              <w:bidi w:val="0"/>
              <w:spacing w:lineRule="auto" w:line="307" w:before="0" w:after="160"/>
              <w:ind w:left="0" w:right="0" w:hanging="0"/>
              <w:jc w:val="left"/>
              <w:rPr/>
            </w:pPr>
            <w:r>
              <w:rPr/>
              <w:t>​</w:t>
            </w:r>
          </w:p>
        </w:tc>
        <w:tc>
          <w:tcPr>
            <w:tcW w:w="1312" w:type="dxa"/>
            <w:tcBorders/>
            <w:vAlign w:val="center"/>
          </w:tcPr>
          <w:p>
            <w:pPr>
              <w:pStyle w:val="TableContents"/>
              <w:bidi w:val="0"/>
              <w:spacing w:lineRule="auto" w:line="307" w:before="0" w:after="160"/>
              <w:ind w:left="0" w:right="0" w:hanging="0"/>
              <w:jc w:val="left"/>
              <w:rPr/>
            </w:pPr>
            <w:r>
              <w:rPr/>
              <w:t>​</w:t>
            </w:r>
          </w:p>
        </w:tc>
      </w:tr>
      <w:tr>
        <w:trPr/>
        <w:tc>
          <w:tcPr>
            <w:tcW w:w="5566" w:type="dxa"/>
            <w:tcBorders/>
            <w:vAlign w:val="center"/>
          </w:tcPr>
          <w:p>
            <w:pPr>
              <w:pStyle w:val="TableContents"/>
              <w:bidi w:val="0"/>
              <w:spacing w:lineRule="auto" w:line="307" w:before="0" w:after="160"/>
              <w:ind w:left="0" w:right="0" w:hanging="0"/>
              <w:jc w:val="center"/>
              <w:rPr/>
            </w:pPr>
            <w:r>
              <w:rPr/>
              <w:t>​</w:t>
            </w:r>
          </w:p>
        </w:tc>
        <w:tc>
          <w:tcPr>
            <w:tcW w:w="1815" w:type="dxa"/>
            <w:gridSpan w:val="2"/>
            <w:tcBorders/>
            <w:vAlign w:val="center"/>
          </w:tcPr>
          <w:p>
            <w:pPr>
              <w:pStyle w:val="TableContents"/>
              <w:bidi w:val="0"/>
              <w:spacing w:lineRule="auto" w:line="307" w:before="0" w:after="1"/>
              <w:ind w:left="0" w:right="0" w:hanging="0"/>
              <w:jc w:val="center"/>
              <w:rPr>
                <w:rFonts w:ascii="Arial;Helvetica;sans-serif" w:hAnsi="Arial;Helvetica;sans-serif"/>
                <w:b/>
                <w:sz w:val="20"/>
              </w:rPr>
            </w:pPr>
            <w:r>
              <w:rPr>
                <w:rFonts w:ascii="Arial;Helvetica;sans-serif" w:hAnsi="Arial;Helvetica;sans-serif"/>
                <w:b/>
                <w:sz w:val="20"/>
              </w:rPr>
              <w:t>Low End of Range</w:t>
            </w:r>
          </w:p>
        </w:tc>
        <w:tc>
          <w:tcPr>
            <w:tcW w:w="109" w:type="dxa"/>
            <w:tcBorders/>
            <w:vAlign w:val="center"/>
          </w:tcPr>
          <w:p>
            <w:pPr>
              <w:pStyle w:val="TableContents"/>
              <w:bidi w:val="0"/>
              <w:spacing w:lineRule="auto" w:line="307" w:before="0" w:after="160"/>
              <w:ind w:left="0" w:right="0" w:hanging="0"/>
              <w:jc w:val="left"/>
              <w:rPr/>
            </w:pPr>
            <w:r>
              <w:rPr/>
              <w:t>​</w:t>
            </w:r>
          </w:p>
        </w:tc>
        <w:tc>
          <w:tcPr>
            <w:tcW w:w="1905" w:type="dxa"/>
            <w:gridSpan w:val="2"/>
            <w:tcBorders/>
            <w:vAlign w:val="center"/>
          </w:tcPr>
          <w:p>
            <w:pPr>
              <w:pStyle w:val="TableContents"/>
              <w:bidi w:val="0"/>
              <w:spacing w:lineRule="auto" w:line="307" w:before="0" w:after="1"/>
              <w:ind w:left="0" w:right="0" w:hanging="0"/>
              <w:jc w:val="center"/>
              <w:rPr>
                <w:rFonts w:ascii="Arial;Helvetica;sans-serif" w:hAnsi="Arial;Helvetica;sans-serif"/>
                <w:b/>
                <w:sz w:val="20"/>
              </w:rPr>
            </w:pPr>
            <w:r>
              <w:rPr>
                <w:rFonts w:ascii="Arial;Helvetica;sans-serif" w:hAnsi="Arial;Helvetica;sans-serif"/>
                <w:b/>
                <w:sz w:val="20"/>
              </w:rPr>
              <w:t>High End of Range</w:t>
            </w:r>
          </w:p>
        </w:tc>
      </w:tr>
      <w:tr>
        <w:trPr/>
        <w:tc>
          <w:tcPr>
            <w:tcW w:w="5566" w:type="dxa"/>
            <w:tcBorders/>
            <w:vAlign w:val="center"/>
          </w:tcPr>
          <w:p>
            <w:pPr>
              <w:pStyle w:val="TableContents"/>
              <w:bidi w:val="0"/>
              <w:spacing w:lineRule="auto" w:line="307" w:before="0" w:after="1"/>
              <w:ind w:left="0" w:right="0" w:hanging="0"/>
              <w:jc w:val="left"/>
              <w:rPr>
                <w:rFonts w:ascii="Arial;Helvetica;sans-serif" w:hAnsi="Arial;Helvetica;sans-serif"/>
                <w:sz w:val="20"/>
              </w:rPr>
            </w:pPr>
            <w:r>
              <w:rPr>
                <w:rFonts w:ascii="Arial;Helvetica;sans-serif" w:hAnsi="Arial;Helvetica;sans-serif"/>
                <w:sz w:val="20"/>
              </w:rPr>
              <w:t>Projected GAAP R&amp;D and SG&amp;A Expense</w:t>
            </w:r>
          </w:p>
        </w:tc>
        <w:tc>
          <w:tcPr>
            <w:tcW w:w="604" w:type="dxa"/>
            <w:tcBorders/>
            <w:vAlign w:val="center"/>
          </w:tcPr>
          <w:p>
            <w:pPr>
              <w:pStyle w:val="TableContents"/>
              <w:bidi w:val="0"/>
              <w:spacing w:lineRule="auto" w:line="307"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11" w:type="dxa"/>
            <w:tcBorders/>
            <w:vAlign w:val="center"/>
          </w:tcPr>
          <w:p>
            <w:pPr>
              <w:pStyle w:val="TableContents"/>
              <w:bidi w:val="0"/>
              <w:spacing w:lineRule="auto" w:line="307" w:before="0" w:after="1"/>
              <w:ind w:left="0" w:right="0" w:hanging="0"/>
              <w:jc w:val="right"/>
              <w:rPr>
                <w:rFonts w:ascii="Arial;Helvetica;sans-serif" w:hAnsi="Arial;Helvetica;sans-serif"/>
                <w:sz w:val="20"/>
              </w:rPr>
            </w:pPr>
            <w:r>
              <w:rPr>
                <w:rFonts w:ascii="Arial;Helvetica;sans-serif" w:hAnsi="Arial;Helvetica;sans-serif"/>
                <w:sz w:val="20"/>
              </w:rPr>
              <w:t>775</w:t>
            </w:r>
          </w:p>
        </w:tc>
        <w:tc>
          <w:tcPr>
            <w:tcW w:w="109" w:type="dxa"/>
            <w:tcBorders/>
            <w:vAlign w:val="center"/>
          </w:tcPr>
          <w:p>
            <w:pPr>
              <w:pStyle w:val="TableContents"/>
              <w:bidi w:val="0"/>
              <w:spacing w:lineRule="auto" w:line="307" w:before="0" w:after="160"/>
              <w:ind w:left="0" w:right="0" w:hanging="0"/>
              <w:jc w:val="left"/>
              <w:rPr/>
            </w:pPr>
            <w:r>
              <w:rPr/>
              <w:t>​</w:t>
            </w:r>
          </w:p>
        </w:tc>
        <w:tc>
          <w:tcPr>
            <w:tcW w:w="593" w:type="dxa"/>
            <w:tcBorders/>
            <w:vAlign w:val="center"/>
          </w:tcPr>
          <w:p>
            <w:pPr>
              <w:pStyle w:val="TableContents"/>
              <w:bidi w:val="0"/>
              <w:spacing w:lineRule="auto" w:line="307"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12" w:type="dxa"/>
            <w:tcBorders/>
            <w:vAlign w:val="center"/>
          </w:tcPr>
          <w:p>
            <w:pPr>
              <w:pStyle w:val="TableContents"/>
              <w:bidi w:val="0"/>
              <w:spacing w:lineRule="auto" w:line="307" w:before="0" w:after="1"/>
              <w:ind w:left="0" w:right="0" w:hanging="0"/>
              <w:jc w:val="right"/>
              <w:rPr>
                <w:rFonts w:ascii="Arial;Helvetica;sans-serif" w:hAnsi="Arial;Helvetica;sans-serif"/>
                <w:sz w:val="20"/>
              </w:rPr>
            </w:pPr>
            <w:r>
              <w:rPr>
                <w:rFonts w:ascii="Arial;Helvetica;sans-serif" w:hAnsi="Arial;Helvetica;sans-serif"/>
                <w:sz w:val="20"/>
              </w:rPr>
              <w:t>815</w:t>
            </w:r>
          </w:p>
        </w:tc>
      </w:tr>
      <w:tr>
        <w:trPr/>
        <w:tc>
          <w:tcPr>
            <w:tcW w:w="5566" w:type="dxa"/>
            <w:tcBorders/>
            <w:vAlign w:val="center"/>
          </w:tcPr>
          <w:p>
            <w:pPr>
              <w:pStyle w:val="TableContents"/>
              <w:bidi w:val="0"/>
              <w:spacing w:lineRule="auto" w:line="307" w:before="0" w:after="1"/>
              <w:ind w:left="0" w:right="0" w:hanging="0"/>
              <w:jc w:val="left"/>
              <w:rPr>
                <w:rFonts w:ascii="Arial;Helvetica;sans-serif" w:hAnsi="Arial;Helvetica;sans-serif"/>
                <w:sz w:val="20"/>
              </w:rPr>
            </w:pPr>
            <w:r>
              <w:rPr>
                <w:rFonts w:ascii="Arial;Helvetica;sans-serif" w:hAnsi="Arial;Helvetica;sans-serif"/>
                <w:sz w:val="20"/>
              </w:rPr>
              <w:t>Less: projected non-cash, stock-based compensation expense</w:t>
            </w:r>
          </w:p>
        </w:tc>
        <w:tc>
          <w:tcPr>
            <w:tcW w:w="1815"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20"/>
              </w:rPr>
            </w:pPr>
            <w:r>
              <w:rPr>
                <w:rFonts w:ascii="Arial;Helvetica;sans-serif" w:hAnsi="Arial;Helvetica;sans-serif"/>
                <w:sz w:val="20"/>
              </w:rPr>
              <w:t>95</w:t>
            </w:r>
          </w:p>
        </w:tc>
        <w:tc>
          <w:tcPr>
            <w:tcW w:w="109" w:type="dxa"/>
            <w:tcBorders>
              <w:bottom w:val="single" w:sz="2" w:space="0" w:color="000000"/>
            </w:tcBorders>
            <w:tcMar>
              <w:bottom w:w="28" w:type="dxa"/>
            </w:tcMar>
            <w:vAlign w:val="center"/>
          </w:tcPr>
          <w:p>
            <w:pPr>
              <w:pStyle w:val="TableContents"/>
              <w:bidi w:val="0"/>
              <w:spacing w:lineRule="auto" w:line="307" w:before="0" w:after="160"/>
              <w:ind w:left="0" w:right="0" w:hanging="0"/>
              <w:jc w:val="left"/>
              <w:rPr/>
            </w:pPr>
            <w:r>
              <w:rPr/>
              <w:t>​</w:t>
            </w:r>
          </w:p>
        </w:tc>
        <w:tc>
          <w:tcPr>
            <w:tcW w:w="1905"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20"/>
              </w:rPr>
            </w:pPr>
            <w:r>
              <w:rPr>
                <w:rFonts w:ascii="Arial;Helvetica;sans-serif" w:hAnsi="Arial;Helvetica;sans-serif"/>
                <w:sz w:val="20"/>
              </w:rPr>
              <w:t>95</w:t>
            </w:r>
          </w:p>
        </w:tc>
      </w:tr>
      <w:tr>
        <w:trPr/>
        <w:tc>
          <w:tcPr>
            <w:tcW w:w="5566" w:type="dxa"/>
            <w:tcBorders/>
            <w:vAlign w:val="center"/>
          </w:tcPr>
          <w:p>
            <w:pPr>
              <w:pStyle w:val="TableContents"/>
              <w:bidi w:val="0"/>
              <w:spacing w:lineRule="auto" w:line="307" w:before="0" w:after="1"/>
              <w:ind w:left="0" w:right="0" w:hanging="0"/>
              <w:jc w:val="left"/>
              <w:rPr>
                <w:rFonts w:ascii="Arial;Helvetica;sans-serif" w:hAnsi="Arial;Helvetica;sans-serif"/>
                <w:b/>
                <w:sz w:val="20"/>
              </w:rPr>
            </w:pPr>
            <w:r>
              <w:rPr>
                <w:rFonts w:ascii="Arial;Helvetica;sans-serif" w:hAnsi="Arial;Helvetica;sans-serif"/>
                <w:b/>
                <w:sz w:val="20"/>
              </w:rPr>
              <w:t xml:space="preserve">Projected non-GAAP R&amp;D and SG&amp;A expense </w:t>
            </w:r>
          </w:p>
        </w:tc>
        <w:tc>
          <w:tcPr>
            <w:tcW w:w="604" w:type="dxa"/>
            <w:tcBorders>
              <w:bottom w:val="single" w:sz="12" w:space="0" w:color="000000"/>
            </w:tcBorders>
            <w:tcMar>
              <w:bottom w:w="28" w:type="dxa"/>
            </w:tcMar>
            <w:vAlign w:val="center"/>
          </w:tcPr>
          <w:p>
            <w:pPr>
              <w:pStyle w:val="TableContents"/>
              <w:bidi w:val="0"/>
              <w:spacing w:lineRule="auto" w:line="307"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11" w:type="dxa"/>
            <w:tcBorders>
              <w:bottom w:val="single" w:sz="1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20"/>
              </w:rPr>
            </w:pPr>
            <w:r>
              <w:rPr>
                <w:rFonts w:ascii="Arial;Helvetica;sans-serif" w:hAnsi="Arial;Helvetica;sans-serif"/>
                <w:sz w:val="20"/>
              </w:rPr>
              <w:t>680</w:t>
            </w:r>
          </w:p>
        </w:tc>
        <w:tc>
          <w:tcPr>
            <w:tcW w:w="109" w:type="dxa"/>
            <w:tcBorders>
              <w:bottom w:val="single" w:sz="12" w:space="0" w:color="000000"/>
            </w:tcBorders>
            <w:tcMar>
              <w:bottom w:w="28" w:type="dxa"/>
            </w:tcMar>
            <w:vAlign w:val="center"/>
          </w:tcPr>
          <w:p>
            <w:pPr>
              <w:pStyle w:val="TableContents"/>
              <w:bidi w:val="0"/>
              <w:spacing w:lineRule="auto" w:line="307" w:before="0" w:after="160"/>
              <w:ind w:left="0" w:right="0" w:hanging="0"/>
              <w:jc w:val="left"/>
              <w:rPr/>
            </w:pPr>
            <w:r>
              <w:rPr/>
              <w:t>​</w:t>
            </w:r>
          </w:p>
        </w:tc>
        <w:tc>
          <w:tcPr>
            <w:tcW w:w="593" w:type="dxa"/>
            <w:tcBorders>
              <w:bottom w:val="single" w:sz="12" w:space="0" w:color="000000"/>
            </w:tcBorders>
            <w:tcMar>
              <w:bottom w:w="28" w:type="dxa"/>
            </w:tcMar>
            <w:vAlign w:val="center"/>
          </w:tcPr>
          <w:p>
            <w:pPr>
              <w:pStyle w:val="TableContents"/>
              <w:bidi w:val="0"/>
              <w:spacing w:lineRule="auto" w:line="307"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12" w:type="dxa"/>
            <w:tcBorders>
              <w:bottom w:val="single" w:sz="12" w:space="0" w:color="000000"/>
            </w:tcBorders>
            <w:tcMar>
              <w:bottom w:w="28" w:type="dxa"/>
            </w:tcMar>
            <w:vAlign w:val="center"/>
          </w:tcPr>
          <w:p>
            <w:pPr>
              <w:pStyle w:val="TableContents"/>
              <w:bidi w:val="0"/>
              <w:spacing w:lineRule="auto" w:line="307" w:before="0" w:after="1"/>
              <w:ind w:left="0" w:right="0" w:hanging="0"/>
              <w:jc w:val="right"/>
              <w:rPr>
                <w:rFonts w:ascii="Arial;Helvetica;sans-serif" w:hAnsi="Arial;Helvetica;sans-serif"/>
                <w:sz w:val="20"/>
              </w:rPr>
            </w:pPr>
            <w:r>
              <w:rPr>
                <w:rFonts w:ascii="Arial;Helvetica;sans-serif" w:hAnsi="Arial;Helvetica;sans-serif"/>
                <w:sz w:val="20"/>
              </w:rPr>
              <w:t>720</w:t>
            </w:r>
          </w:p>
        </w:tc>
      </w:tr>
      <w:tr>
        <w:trPr/>
        <w:tc>
          <w:tcPr>
            <w:tcW w:w="5566" w:type="dxa"/>
            <w:tcBorders/>
            <w:vAlign w:val="center"/>
          </w:tcPr>
          <w:p>
            <w:pPr>
              <w:pStyle w:val="TableContents"/>
              <w:bidi w:val="0"/>
              <w:spacing w:lineRule="auto" w:line="307" w:before="0" w:after="160"/>
              <w:ind w:left="0" w:right="0" w:hanging="0"/>
              <w:jc w:val="left"/>
              <w:rPr/>
            </w:pPr>
            <w:r>
              <w:rPr/>
              <w:t>​</w:t>
            </w:r>
          </w:p>
        </w:tc>
        <w:tc>
          <w:tcPr>
            <w:tcW w:w="604" w:type="dxa"/>
            <w:tcBorders/>
            <w:vAlign w:val="center"/>
          </w:tcPr>
          <w:p>
            <w:pPr>
              <w:pStyle w:val="TableContents"/>
              <w:bidi w:val="0"/>
              <w:spacing w:lineRule="auto" w:line="307" w:before="0" w:after="160"/>
              <w:ind w:left="0" w:right="0" w:hanging="0"/>
              <w:jc w:val="left"/>
              <w:rPr/>
            </w:pPr>
            <w:r>
              <w:rPr/>
              <w:t>​</w:t>
            </w:r>
          </w:p>
        </w:tc>
        <w:tc>
          <w:tcPr>
            <w:tcW w:w="1211"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593" w:type="dxa"/>
            <w:tcBorders/>
            <w:vAlign w:val="center"/>
          </w:tcPr>
          <w:p>
            <w:pPr>
              <w:pStyle w:val="TableContents"/>
              <w:bidi w:val="0"/>
              <w:spacing w:lineRule="auto" w:line="307" w:before="0" w:after="160"/>
              <w:ind w:left="0" w:right="0" w:hanging="0"/>
              <w:jc w:val="left"/>
              <w:rPr/>
            </w:pPr>
            <w:r>
              <w:rPr/>
              <w:t>​</w:t>
            </w:r>
          </w:p>
        </w:tc>
        <w:tc>
          <w:tcPr>
            <w:tcW w:w="1312" w:type="dxa"/>
            <w:tcBorders/>
            <w:vAlign w:val="center"/>
          </w:tcPr>
          <w:p>
            <w:pPr>
              <w:pStyle w:val="TableContents"/>
              <w:bidi w:val="0"/>
              <w:spacing w:lineRule="auto" w:line="307" w:before="0" w:after="160"/>
              <w:ind w:left="0" w:right="0" w:hanging="0"/>
              <w:jc w:val="left"/>
              <w:rPr/>
            </w:pPr>
            <w:r>
              <w:rPr/>
              <w:t>​</w:t>
            </w:r>
          </w:p>
        </w:tc>
      </w:tr>
    </w:tbl>
    <w:p>
      <w:pPr>
        <w:pStyle w:val="TextBody"/>
        <w:bidi w:val="0"/>
        <w:spacing w:lineRule="auto" w:line="307" w:before="0" w:after="160"/>
        <w:ind w:left="0" w:right="0" w:hanging="0"/>
        <w:jc w:val="left"/>
        <w:rPr>
          <w:shd w:fill="FFFF00" w:val="clear"/>
        </w:rPr>
      </w:pPr>
      <w:r>
        <w:rPr>
          <w:shd w:fill="FFFF00" w:val="clear"/>
        </w:rPr>
        <w:t>​</w:t>
      </w:r>
    </w:p>
    <w:p>
      <w:pPr>
        <w:pStyle w:val="TextBody"/>
        <w:bidi w:val="0"/>
        <w:spacing w:lineRule="auto" w:line="307" w:before="0" w:after="160"/>
        <w:ind w:left="0" w:right="0" w:hanging="0"/>
        <w:jc w:val="left"/>
        <w:rPr>
          <w:shd w:fill="FFFF00" w:val="clear"/>
        </w:rPr>
      </w:pPr>
      <w:r>
        <w:rPr>
          <w:shd w:fill="FFFF00" w:val="clear"/>
        </w:rPr>
        <w:t>​</w:t>
      </w:r>
    </w:p>
    <w:p>
      <w:pPr>
        <w:pStyle w:val="TextBody"/>
        <w:bidi w:val="0"/>
        <w:spacing w:lineRule="auto" w:line="307" w:before="0" w:after="160"/>
        <w:ind w:left="0" w:right="0" w:hanging="0"/>
        <w:jc w:val="left"/>
        <w:rPr>
          <w:shd w:fill="FFFF00" w:val="clear"/>
        </w:rPr>
      </w:pPr>
      <w:r>
        <w:rPr>
          <w:shd w:fill="FFFF00" w:val="clear"/>
        </w:rPr>
        <w:t>​</w:t>
      </w:r>
    </w:p>
    <w:p>
      <w:pPr>
        <w:pStyle w:val="TextBody"/>
        <w:bidi w:val="0"/>
        <w:spacing w:lineRule="auto" w:line="307" w:before="0" w:after="160"/>
        <w:ind w:left="0" w:right="0" w:hanging="0"/>
        <w:jc w:val="left"/>
        <w:rPr>
          <w:shd w:fill="FFFF00" w:val="clear"/>
        </w:rPr>
      </w:pPr>
      <w:r>
        <w:rPr>
          <w:shd w:fill="FFFF00" w:val="clea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b/>
          <w:sz w:val="20"/>
        </w:rPr>
      </w:pPr>
      <w:r>
        <w:rPr>
          <w:rFonts w:ascii="Arial;Helvetica;sans-serif" w:hAnsi="Arial;Helvetica;sans-serif"/>
          <w:b/>
          <w:sz w:val="20"/>
        </w:rPr>
        <w:t>Acronyms</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CHF: Confoederatio Helvetica Francs (Swiss francs)</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cUHDRS: Composite Unified Huntington's Disease Rating Scale</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DMD: Duchenne muscular dystrophy</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FA: Friedreich’s ataxia</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FDA: US Food and Drug Administration</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GAAP: Generally Accepted Accounting Principles</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HD: Huntington’s disease</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NDA: New Drug Application</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nmDMD: Nonsense mutation Duchenne muscular dystrophy</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R&amp;D: Research and Development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SG&amp;A: Selling, General, and Administrative</w:t>
      </w:r>
    </w:p>
    <w:p>
      <w:pPr>
        <w:pStyle w:val="TextBody"/>
        <w:bidi w:val="0"/>
        <w:spacing w:lineRule="auto" w:line="307" w:before="0" w:after="160"/>
        <w:ind w:left="0" w:right="0" w:hanging="0"/>
        <w:jc w:val="left"/>
        <w:rPr/>
      </w:pPr>
      <w:r>
        <w:rPr/>
        <w:t>​</w:t>
      </w:r>
    </w:p>
    <w:p>
      <w:pPr>
        <w:pStyle w:val="TextBody"/>
        <w:bidi w:val="0"/>
        <w:spacing w:lineRule="auto" w:line="285" w:before="0" w:after="160"/>
        <w:ind w:left="0" w:right="0" w:hanging="0"/>
        <w:jc w:val="left"/>
        <w:rPr>
          <w:rFonts w:ascii="Arial;Helvetica;sans-serif" w:hAnsi="Arial;Helvetica;sans-serif"/>
          <w:b/>
          <w:sz w:val="20"/>
        </w:rPr>
      </w:pPr>
      <w:r>
        <w:rPr>
          <w:rFonts w:ascii="Arial;Helvetica;sans-serif" w:hAnsi="Arial;Helvetica;sans-serif"/>
          <w:b/>
          <w:sz w:val="20"/>
        </w:rPr>
        <w:t>Today's Conference Call and Webcast Reminder</w:t>
      </w:r>
    </w:p>
    <w:p>
      <w:pPr>
        <w:pStyle w:val="TextBody"/>
        <w:bidi w:val="0"/>
        <w:spacing w:lineRule="auto" w:line="285" w:before="0" w:after="0"/>
        <w:ind w:left="0" w:right="0" w:hanging="0"/>
        <w:jc w:val="left"/>
        <w:rPr>
          <w:rFonts w:ascii="Times New Roman;Times;serif" w:hAnsi="Times New Roman;Times;serif"/>
          <w:sz w:val="20"/>
        </w:rPr>
      </w:pPr>
      <w:r>
        <w:rPr>
          <w:rFonts w:ascii="Arial;Helvetica;sans-serif" w:hAnsi="Arial;Helvetica;sans-serif"/>
          <w:sz w:val="20"/>
        </w:rPr>
        <w:t>To access the live webcast, please visit the “Events &amp; Presentations” page within the Investors section of the PTC website. A replay of the webcast will be available on the PTC website for 30 days following the event. To participate via phone, please register in advance here</w:t>
      </w:r>
      <w:r>
        <w:rPr>
          <w:rFonts w:ascii="Times New Roman;Times;serif" w:hAnsi="Times New Roman;Times;serif"/>
          <w:sz w:val="20"/>
        </w:rPr>
        <w:t xml:space="preserve"> </w:t>
      </w:r>
      <w:r>
        <w:rPr>
          <w:rFonts w:ascii="Arial;Helvetica;sans-serif" w:hAnsi="Arial;Helvetica;sans-serif"/>
          <w:sz w:val="20"/>
        </w:rPr>
        <w:t>to receive dial-in details.</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Helvetica;sans-serif" w:hAnsi="Helvetica;sans-serif"/>
          <w:sz w:val="20"/>
        </w:rPr>
      </w:pPr>
      <w:r>
        <w:rPr>
          <w:rFonts w:ascii="Arial;Helvetica;sans-serif" w:hAnsi="Arial;Helvetica;sans-serif"/>
          <w:b/>
          <w:sz w:val="20"/>
        </w:rPr>
        <w:t>About PTC Therapeutics, Inc.</w:t>
      </w:r>
      <w:r>
        <w:rPr>
          <w:rFonts w:ascii="Helvetica;sans-serif" w:hAnsi="Helvetica;sans-serif"/>
          <w:sz w:val="20"/>
        </w:rPr>
        <w:t> </w:t>
      </w:r>
      <w:r>
        <w:rPr>
          <w:rFonts w:ascii="Arial;Helvetica;sans-serif" w:hAnsi="Arial;Helvetica;sans-serif"/>
          <w:sz w:val="20"/>
        </w:rPr>
        <w:br/>
        <w:t>PTC is a global biopharmaceutical company dedicated to the discovery, development and commercialization of clinically differentiated medicines for children and adults living with rare disorders. PTC is advancing a robust and diversified pipeline of transformative medicines as part of its mission to provide access to best-in-class treatments for patients with unmet medical needs. The company's strategy is to leverage its scientific expertise and global commercial infrastructure to optimize value for patients and other stakeholders. To learn more about PTC, please visit www.ptcbio.com and follow on LinkedIn, X, Facebook and Instagram.</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b/>
          <w:sz w:val="20"/>
        </w:rPr>
      </w:pPr>
      <w:r>
        <w:rPr>
          <w:rFonts w:ascii="Arial;Helvetica;sans-serif" w:hAnsi="Arial;Helvetica;sans-serif"/>
          <w:b/>
          <w:sz w:val="20"/>
        </w:rPr>
        <w:t>For more information please contact: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Helvetica;sans-serif" w:hAnsi="Helvetica;sans-serif"/>
          <w:sz w:val="20"/>
        </w:rPr>
      </w:pPr>
      <w:r>
        <w:rPr>
          <w:rFonts w:ascii="Arial;Helvetica;sans-serif" w:hAnsi="Arial;Helvetica;sans-serif"/>
          <w:b/>
          <w:sz w:val="20"/>
        </w:rPr>
        <w:t>Investors:</w:t>
        <w:br/>
      </w:r>
      <w:r>
        <w:rPr>
          <w:rFonts w:ascii="Arial;Helvetica;sans-serif" w:hAnsi="Arial;Helvetica;sans-serif"/>
          <w:sz w:val="20"/>
        </w:rPr>
        <w:t>Ellen Cavaleri</w:t>
        <w:br/>
        <w:t>+1 (615) 618-8228</w:t>
        <w:br/>
        <w:t>ecavaleri@ptcbio.com</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Helvetica;sans-serif" w:hAnsi="Helvetica;sans-serif"/>
          <w:sz w:val="20"/>
        </w:rPr>
      </w:pPr>
      <w:r>
        <w:rPr>
          <w:rFonts w:ascii="Arial;Helvetica;sans-serif" w:hAnsi="Arial;Helvetica;sans-serif"/>
          <w:b/>
          <w:sz w:val="20"/>
        </w:rPr>
        <w:t>Media:</w:t>
        <w:br/>
      </w:r>
      <w:r>
        <w:rPr>
          <w:rFonts w:ascii="Arial;Helvetica;sans-serif" w:hAnsi="Arial;Helvetica;sans-serif"/>
          <w:sz w:val="20"/>
        </w:rPr>
        <w:t>Jeanine Clemente</w:t>
        <w:br/>
        <w:t>+1 (908) 912-9406</w:t>
        <w:br/>
        <w:t>jclemente@ptcbio.com</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b/>
          <w:sz w:val="20"/>
        </w:rPr>
      </w:pPr>
      <w:r>
        <w:rPr>
          <w:rFonts w:ascii="Arial;Helvetica;sans-serif" w:hAnsi="Arial;Helvetica;sans-serif"/>
          <w:b/>
          <w:sz w:val="20"/>
        </w:rPr>
        <w:t>Forward-Looking Statements:</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This press release contains forward-looking statements within the meaning of The Private Securities Litigation Reform Act of 1995. All statements contained in this release, other than statements of historic fact, are forward-looking statements, including the information provided under the heading "PTC Updates Full-Year 2026 Financial Guidance", including with respect to (i) 2026 total product revenue guidance and total revenue guidance and (ii) 2026 GAAP and non-GAAP R&amp;D and SG&amp;A expense guidance, and statements regarding: the future expectations, plans and prospects for PTC, including with respect to the expected timing of clinical trials and studies, availability of data, regulatory submissions and responses, meetings with regulatory agencies, commercialization and other matters with respect to its products and product candidates; PTC's strategy, future operations, future financial position, future revenues, projected costs; and the objectives of management. Other forward-looking statements may be identified by the words, "guidance," "plan," "anticipate," "believe," "estimate," "expect," "intend," "may," "target," "potential," "will," "would," "could," "should," "continue," "aim," and similar expressions.</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 xml:space="preserve">PTC's actual results, performance or achievements could differ materially from those expressed or implied by forward-looking statements it makes as a result of a variety of risks and uncertainties, including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those related to: the outcome of pricing, coverage and reimbursement negotiations with third party payors for PTC's products or product candidates that PTC commercializes or may commercialize in the future; expectations with respect to Sephience, including commercialization and the potential achievement of sales milestones and contingent payments that PTC may be obligated to make; PTC's ability to maintain its marketing authorization of Translarna for the treatment of nmDMD in geographies in which it has been approved and the effect of the European Commission's adoption of the negative opinion from the Committee for Medicinal Products for Human Use (CHMP) on Translarna and the withdrawal of the Translarna NDA in the US on other regulatory bodies; expectations with respect to PTC's license and collaboration agreement with Novartis Pharmaceuticals Corporation for votoplam for the treatment of Huntington's disease including its right to receive development, regulatory and sales milestones, profit sharing and royalty payments from Novartis, the design and expected timing of clinical trials and studies, the availability of data, and regulatory submissions and responses, including potential accelerated approval; expectations with respect to Upstaza/Kebilidi, including commercialization, manufacturing capabilities, and the potential achievement of sales milestones and contingent payments that PTC may be obligated to make; expectations with respect to vatiquinone, including with respect to the design and expected timing of clinical trials and studies, the availability of data, and regulatory submissions and responses and potential approvals and other matters; expectations with respect to the commercialization of Evrysdi under PTC's SMA collaboration; expectations with respect to the commercialization of Tegsedi and Waylivra; expectations regarding PTC’s product candidates, including the timing of clinical trials and studies; significant business effects, including the effects of industry, market, economic, political or regulatory conditions; changes in tax and other laws, regulations, rates and policies; the eligible patient base and commercial potential of PTC's products and product candidates; PTC's scientific approach and general development progress; PTC's ability to satisfy its obligations under the terms of its lease agreements; the sufficiency of PTC's cash resources and its ability to obtain adequate financing in the future for its foreseeable and unforeseeable operating expenses and capital expenditures; and the factors discussed in the "Risk Factors" section of PTC's Annual Report on Form 10-K, as well as any updates to these risk factors filed from time to time in PTC's other filings with the SEC. You are urged to carefully consider all such factors.</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As with any pharmaceutical under development, there are significant risks in the development, regulatory approval and commercialization of new products. There are no guarantees that any product will receive or maintain regulatory approval in any territory, or prove to be commercially successful, including Sephience, Translarna, Emflaza, Upstaza, Kebilidi, Evrysdi, Tegsedi or Waylivra.</w:t>
      </w:r>
    </w:p>
    <w:p>
      <w:pPr>
        <w:pStyle w:val="TextBody"/>
        <w:bidi w:val="0"/>
        <w:spacing w:lineRule="auto" w:line="307" w:before="0" w:after="160"/>
        <w:ind w:left="0" w:right="0" w:hanging="0"/>
        <w:jc w:val="left"/>
        <w:rPr/>
      </w:pPr>
      <w:r>
        <w:rPr/>
        <w:t>​</w:t>
      </w:r>
    </w:p>
    <w:p>
      <w:pPr>
        <w:pStyle w:val="TextBody"/>
        <w:bidi w:val="0"/>
        <w:spacing w:lineRule="auto" w:line="285" w:before="0" w:after="160"/>
        <w:ind w:left="0" w:right="0" w:hanging="0"/>
        <w:jc w:val="left"/>
        <w:rPr>
          <w:rFonts w:ascii="Arial;Helvetica;sans-serif" w:hAnsi="Arial;Helvetica;sans-serif"/>
          <w:sz w:val="20"/>
        </w:rPr>
      </w:pPr>
      <w:r>
        <w:rPr>
          <w:rFonts w:ascii="Arial;Helvetica;sans-serif" w:hAnsi="Arial;Helvetica;sans-serif"/>
          <w:sz w:val="20"/>
        </w:rPr>
        <w:t>The forward-looking statements contained herein represent PTC's views only as of the date of this press release and PTC does not undertake or plan to update or revise any such forward-looking statements to reflect actual results or changes in plans, prospects, assumptions, estimates or projections, or other circumstances occurring after the date of this press release except as required by law.</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Helvetica">
    <w:altName w:val="Arial"/>
    <w:charset w:val="01"/>
    <w:family w:val="auto"/>
    <w:pitch w:val="default"/>
  </w:font>
  <w:font w:name="Courier New">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3684</Words>
  <Characters>21192</Characters>
  <CharactersWithSpaces>24910</CharactersWithSpaces>
  <Paragraphs>749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